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XSpec="center" w:tblpY="-54"/>
        <w:tblW w:w="10632" w:type="dxa"/>
        <w:tblInd w:w="0" w:type="dxa"/>
        <w:tblLayout w:type="fixed"/>
        <w:tblCellMar>
          <w:top w:w="0" w:type="dxa"/>
          <w:left w:w="107" w:type="dxa"/>
          <w:bottom w:w="0" w:type="dxa"/>
          <w:right w:w="107" w:type="dxa"/>
        </w:tblCellMar>
      </w:tblPr>
      <w:tblGrid>
        <w:gridCol w:w="3969"/>
        <w:gridCol w:w="2835"/>
        <w:gridCol w:w="3828"/>
      </w:tblGrid>
      <w:tr w14:paraId="010C141B">
        <w:tblPrEx>
          <w:tblCellMar>
            <w:top w:w="0" w:type="dxa"/>
            <w:left w:w="107" w:type="dxa"/>
            <w:bottom w:w="0" w:type="dxa"/>
            <w:right w:w="107" w:type="dxa"/>
          </w:tblCellMar>
        </w:tblPrEx>
        <w:trPr>
          <w:trHeight w:val="2552" w:hRule="atLeast"/>
        </w:trPr>
        <w:tc>
          <w:tcPr>
            <w:tcW w:w="3969" w:type="dxa"/>
            <w:vAlign w:val="center"/>
          </w:tcPr>
          <w:p w14:paraId="538AE2B3">
            <w:pPr>
              <w:tabs>
                <w:tab w:val="left" w:pos="0"/>
              </w:tabs>
              <w:spacing w:after="0" w:line="240" w:lineRule="auto"/>
              <w:rPr>
                <w:rFonts w:cstheme="minorHAnsi"/>
                <w:b/>
                <w:bCs/>
                <w:sz w:val="18"/>
                <w:szCs w:val="18"/>
              </w:rPr>
            </w:pPr>
            <w:r>
              <w:rPr>
                <w:rFonts w:cstheme="minorHAnsi"/>
                <w:b/>
                <w:bCs/>
                <w:sz w:val="18"/>
                <w:szCs w:val="18"/>
              </w:rPr>
              <w:object>
                <v:shape id="_x0000_i1025" o:spt="75" type="#_x0000_t75" style="height:50.25pt;width:57.75pt;" o:ole="t" filled="t" o:preferrelative="t" stroked="f" coordsize="21600,21600">
                  <v:path/>
                  <v:fill on="t" color2="#000000" focussize="0,0"/>
                  <v:stroke on="f" joinstyle="miter"/>
                  <v:imagedata r:id="rId7" o:title=""/>
                  <o:lock v:ext="edit" aspectratio="t"/>
                  <w10:wrap type="none"/>
                  <w10:anchorlock/>
                </v:shape>
                <o:OLEObject Type="Embed" ProgID="PBrush" ShapeID="_x0000_i1025" DrawAspect="Content" ObjectID="_1468075725" r:id="rId6">
                  <o:LockedField>false</o:LockedField>
                </o:OLEObject>
              </w:object>
            </w:r>
          </w:p>
          <w:p w14:paraId="1227D5A1">
            <w:pPr>
              <w:tabs>
                <w:tab w:val="left" w:pos="0"/>
              </w:tabs>
              <w:spacing w:after="0" w:line="240" w:lineRule="auto"/>
              <w:rPr>
                <w:rFonts w:cstheme="minorHAnsi"/>
                <w:b/>
                <w:bCs/>
                <w:sz w:val="18"/>
                <w:szCs w:val="18"/>
              </w:rPr>
            </w:pPr>
            <w:r>
              <w:rPr>
                <w:rFonts w:cstheme="minorHAnsi"/>
                <w:b/>
                <w:bCs/>
                <w:sz w:val="18"/>
                <w:szCs w:val="18"/>
              </w:rPr>
              <w:t>ΕΛΛΗΝΙΚΗ ΔΗΜΟΚΡΑΤΙΑ</w:t>
            </w:r>
          </w:p>
          <w:p w14:paraId="1D3B4AD8">
            <w:pPr>
              <w:tabs>
                <w:tab w:val="left" w:pos="0"/>
              </w:tabs>
              <w:spacing w:after="0" w:line="240" w:lineRule="auto"/>
              <w:rPr>
                <w:rFonts w:cstheme="minorHAnsi"/>
                <w:b/>
                <w:bCs/>
                <w:sz w:val="18"/>
                <w:szCs w:val="18"/>
              </w:rPr>
            </w:pPr>
            <w:r>
              <w:rPr>
                <w:rFonts w:cstheme="minorHAnsi"/>
                <w:b/>
                <w:bCs/>
                <w:sz w:val="18"/>
                <w:szCs w:val="18"/>
              </w:rPr>
              <w:t>ΥΠΟΥΡΓΕΙΟ ΑΓΡΟΤΙΚΗΣ ΑΝΑΠΤΥΞΗΣ &amp; ΤΡΟΦΙΜΩΝ</w:t>
            </w:r>
          </w:p>
          <w:p w14:paraId="06B313A5">
            <w:pPr>
              <w:tabs>
                <w:tab w:val="left" w:pos="0"/>
              </w:tabs>
              <w:spacing w:after="0" w:line="240" w:lineRule="auto"/>
              <w:rPr>
                <w:rFonts w:cstheme="minorHAnsi"/>
                <w:b/>
                <w:bCs/>
                <w:sz w:val="18"/>
                <w:szCs w:val="18"/>
              </w:rPr>
            </w:pPr>
            <w:r>
              <w:rPr>
                <w:rFonts w:cstheme="minorHAnsi"/>
                <w:b/>
                <w:bCs/>
                <w:sz w:val="18"/>
                <w:szCs w:val="18"/>
              </w:rPr>
              <w:t xml:space="preserve">ΓΕΝΙΚΗ ΓΡΑΜΜΑΤΕΙΑ </w:t>
            </w:r>
            <w:r>
              <w:rPr>
                <w:sz w:val="18"/>
                <w:szCs w:val="18"/>
              </w:rPr>
              <w:t xml:space="preserve"> </w:t>
            </w:r>
            <w:r>
              <w:rPr>
                <w:rFonts w:cstheme="minorHAnsi"/>
                <w:b/>
                <w:bCs/>
                <w:sz w:val="18"/>
                <w:szCs w:val="18"/>
              </w:rPr>
              <w:t xml:space="preserve">ΕΝΩΣΙΑΚΩΝ ΠΟΡΩΝ </w:t>
            </w:r>
          </w:p>
          <w:p w14:paraId="1F0545E2">
            <w:pPr>
              <w:tabs>
                <w:tab w:val="left" w:pos="0"/>
              </w:tabs>
              <w:spacing w:after="0" w:line="240" w:lineRule="auto"/>
              <w:rPr>
                <w:rFonts w:cstheme="minorHAnsi"/>
                <w:b/>
                <w:bCs/>
                <w:sz w:val="18"/>
                <w:szCs w:val="18"/>
              </w:rPr>
            </w:pPr>
            <w:r>
              <w:rPr>
                <w:rFonts w:cstheme="minorHAnsi"/>
                <w:b/>
                <w:bCs/>
                <w:sz w:val="18"/>
                <w:szCs w:val="18"/>
              </w:rPr>
              <w:t>ΚΑΙ ΥΠΟΔΟΜΩΝ</w:t>
            </w:r>
          </w:p>
          <w:p w14:paraId="2856B7A2">
            <w:pPr>
              <w:tabs>
                <w:tab w:val="left" w:pos="0"/>
              </w:tabs>
              <w:spacing w:after="0" w:line="240" w:lineRule="auto"/>
              <w:rPr>
                <w:rFonts w:cstheme="minorHAnsi"/>
                <w:b/>
                <w:bCs/>
                <w:sz w:val="18"/>
                <w:szCs w:val="18"/>
              </w:rPr>
            </w:pPr>
            <w:r>
              <w:rPr>
                <w:rFonts w:cstheme="minorHAnsi"/>
                <w:b/>
                <w:bCs/>
                <w:sz w:val="18"/>
                <w:szCs w:val="18"/>
              </w:rPr>
              <w:t>ΕΙΔΙΚΗ ΥΠΗΡΕΣΙΑ</w:t>
            </w:r>
            <w:r>
              <w:rPr>
                <w:sz w:val="18"/>
                <w:szCs w:val="18"/>
              </w:rPr>
              <w:t xml:space="preserve"> </w:t>
            </w:r>
            <w:r>
              <w:rPr>
                <w:rFonts w:cstheme="minorHAnsi"/>
                <w:b/>
                <w:bCs/>
                <w:sz w:val="18"/>
                <w:szCs w:val="18"/>
              </w:rPr>
              <w:t>ΕΦΑΡΜΟΓΗΣ  ΠΑΡΕΜΒΑΣΕΩΝ ΑΓΡΟΤΙΚΗΣ ΑΝΑΠΤΥΞΗΣ</w:t>
            </w:r>
          </w:p>
        </w:tc>
        <w:tc>
          <w:tcPr>
            <w:tcW w:w="2835" w:type="dxa"/>
          </w:tcPr>
          <w:p w14:paraId="21CF9519">
            <w:pPr>
              <w:tabs>
                <w:tab w:val="left" w:pos="0"/>
              </w:tabs>
              <w:spacing w:after="120" w:line="240" w:lineRule="auto"/>
              <w:jc w:val="both"/>
              <w:rPr>
                <w:rFonts w:cstheme="minorHAnsi"/>
                <w:b/>
              </w:rPr>
            </w:pPr>
          </w:p>
          <w:p w14:paraId="3397B25B">
            <w:pPr>
              <w:tabs>
                <w:tab w:val="left" w:pos="0"/>
              </w:tabs>
              <w:spacing w:after="120" w:line="240" w:lineRule="auto"/>
              <w:jc w:val="both"/>
              <w:rPr>
                <w:rFonts w:cstheme="minorHAnsi"/>
                <w:b/>
              </w:rPr>
            </w:pPr>
          </w:p>
          <w:p w14:paraId="5DA21177">
            <w:pPr>
              <w:tabs>
                <w:tab w:val="left" w:pos="0"/>
              </w:tabs>
              <w:spacing w:after="120" w:line="240" w:lineRule="auto"/>
              <w:jc w:val="both"/>
              <w:rPr>
                <w:rFonts w:cstheme="minorHAnsi"/>
                <w:b/>
              </w:rPr>
            </w:pPr>
          </w:p>
          <w:p w14:paraId="2D84FC37">
            <w:pPr>
              <w:tabs>
                <w:tab w:val="left" w:pos="0"/>
              </w:tabs>
              <w:spacing w:after="120" w:line="240" w:lineRule="auto"/>
              <w:jc w:val="both"/>
              <w:rPr>
                <w:rFonts w:cstheme="minorHAnsi"/>
                <w:b/>
              </w:rPr>
            </w:pPr>
            <w:r>
              <w:rPr>
                <w:rFonts w:cstheme="minorHAnsi"/>
                <w:b/>
                <w:lang w:eastAsia="el-GR"/>
              </w:rPr>
              <w:drawing>
                <wp:inline distT="0" distB="0" distL="0" distR="0">
                  <wp:extent cx="1201420" cy="988060"/>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3828" w:type="dxa"/>
            <w:vAlign w:val="center"/>
          </w:tcPr>
          <w:p w14:paraId="61CC98BA">
            <w:pPr>
              <w:tabs>
                <w:tab w:val="left" w:pos="0"/>
              </w:tabs>
              <w:spacing w:after="120" w:line="240" w:lineRule="auto"/>
              <w:jc w:val="both"/>
              <w:rPr>
                <w:rFonts w:cstheme="minorHAnsi"/>
                <w:b/>
              </w:rPr>
            </w:pPr>
            <w:r>
              <w:rPr>
                <w:lang w:eastAsia="el-GR"/>
              </w:rPr>
              <w:drawing>
                <wp:inline distT="0" distB="0" distL="0" distR="0">
                  <wp:extent cx="1724025" cy="1407795"/>
                  <wp:effectExtent l="0" t="0" r="0" b="0"/>
                  <wp:docPr id="128178413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84137" name="Εικόν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29963" cy="1413003"/>
                          </a:xfrm>
                          <a:prstGeom prst="rect">
                            <a:avLst/>
                          </a:prstGeom>
                          <a:noFill/>
                          <a:ln>
                            <a:noFill/>
                          </a:ln>
                        </pic:spPr>
                      </pic:pic>
                    </a:graphicData>
                  </a:graphic>
                </wp:inline>
              </w:drawing>
            </w:r>
          </w:p>
        </w:tc>
      </w:tr>
    </w:tbl>
    <w:p w14:paraId="476BFEF0">
      <w:pPr>
        <w:spacing w:after="120" w:line="240" w:lineRule="auto"/>
        <w:jc w:val="both"/>
        <w:rPr>
          <w:rFonts w:ascii="Tahoma" w:hAnsi="Tahoma" w:cs="Tahoma"/>
          <w:b/>
          <w:bCs/>
          <w:sz w:val="20"/>
          <w:szCs w:val="20"/>
          <w:u w:val="single"/>
        </w:rPr>
      </w:pPr>
    </w:p>
    <w:tbl>
      <w:tblPr>
        <w:tblStyle w:val="12"/>
        <w:tblpPr w:leftFromText="180" w:rightFromText="180" w:vertAnchor="text" w:horzAnchor="margin" w:tblpXSpec="center" w:tblpY="-54"/>
        <w:tblW w:w="1017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7" w:type="dxa"/>
          <w:bottom w:w="0" w:type="dxa"/>
          <w:right w:w="107" w:type="dxa"/>
        </w:tblCellMar>
      </w:tblPr>
      <w:tblGrid>
        <w:gridCol w:w="3119"/>
        <w:gridCol w:w="4926"/>
        <w:gridCol w:w="2127"/>
      </w:tblGrid>
      <w:tr w14:paraId="5C64E45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7" w:type="dxa"/>
            <w:bottom w:w="0" w:type="dxa"/>
            <w:right w:w="107" w:type="dxa"/>
          </w:tblCellMar>
        </w:tblPrEx>
        <w:trPr>
          <w:trHeight w:val="1276" w:hRule="atLeast"/>
        </w:trPr>
        <w:tc>
          <w:tcPr>
            <w:tcW w:w="3119" w:type="dxa"/>
            <w:vAlign w:val="center"/>
          </w:tcPr>
          <w:p w14:paraId="152020B2">
            <w:pPr>
              <w:tabs>
                <w:tab w:val="left" w:pos="0"/>
              </w:tabs>
              <w:spacing w:after="120" w:line="240" w:lineRule="auto"/>
              <w:jc w:val="both"/>
              <w:rPr>
                <w:rFonts w:ascii="Tahoma" w:hAnsi="Tahoma" w:cs="Tahoma"/>
                <w:b/>
                <w:bCs/>
                <w:sz w:val="24"/>
                <w:szCs w:val="24"/>
              </w:rPr>
            </w:pPr>
            <w:r>
              <w:rPr>
                <w:rFonts w:ascii="Tahoma" w:hAnsi="Tahoma" w:cs="Tahoma"/>
                <w:b/>
                <w:bCs/>
                <w:sz w:val="24"/>
                <w:szCs w:val="24"/>
                <w:lang w:eastAsia="el-GR"/>
              </w:rPr>
              <w:drawing>
                <wp:inline distT="0" distB="0" distL="0" distR="0">
                  <wp:extent cx="1844675" cy="548640"/>
                  <wp:effectExtent l="0" t="0" r="0" b="0"/>
                  <wp:docPr id="4298706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70622" name="Εικόνα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4675" cy="548640"/>
                          </a:xfrm>
                          <a:prstGeom prst="rect">
                            <a:avLst/>
                          </a:prstGeom>
                        </pic:spPr>
                      </pic:pic>
                    </a:graphicData>
                  </a:graphic>
                </wp:inline>
              </w:drawing>
            </w:r>
          </w:p>
        </w:tc>
        <w:tc>
          <w:tcPr>
            <w:tcW w:w="4926" w:type="dxa"/>
            <w:vAlign w:val="center"/>
          </w:tcPr>
          <w:p w14:paraId="0C931400">
            <w:pPr>
              <w:spacing w:after="120" w:line="240" w:lineRule="auto"/>
              <w:ind w:right="642"/>
              <w:jc w:val="center"/>
              <w:rPr>
                <w:rFonts w:ascii="Tahoma" w:hAnsi="Tahoma" w:cs="Tahoma"/>
                <w:b/>
                <w:bCs/>
                <w:sz w:val="24"/>
                <w:szCs w:val="24"/>
              </w:rPr>
            </w:pPr>
            <w:r>
              <w:rPr>
                <w:rFonts w:ascii="Tahoma" w:hAnsi="Tahoma" w:cs="Tahoma"/>
                <w:b/>
                <w:bCs/>
                <w:sz w:val="24"/>
                <w:szCs w:val="24"/>
              </w:rPr>
              <w:t>ΤΟΠΙΚΟ ΠΡΟΓΡΑΜΜΑ</w:t>
            </w:r>
          </w:p>
          <w:p w14:paraId="0172F47C">
            <w:pPr>
              <w:spacing w:after="120" w:line="240" w:lineRule="auto"/>
              <w:ind w:right="642"/>
              <w:jc w:val="center"/>
              <w:rPr>
                <w:rFonts w:ascii="Tahoma" w:hAnsi="Tahoma" w:cs="Tahoma"/>
                <w:b/>
                <w:bCs/>
                <w:sz w:val="24"/>
                <w:szCs w:val="24"/>
              </w:rPr>
            </w:pPr>
            <w:r>
              <w:rPr>
                <w:rFonts w:ascii="Tahoma" w:hAnsi="Tahoma" w:cs="Tahoma"/>
                <w:b/>
                <w:bCs/>
                <w:sz w:val="24"/>
                <w:szCs w:val="24"/>
              </w:rPr>
              <w:t>ΤΑΠΤοΚ LEADER Ν. ΧΑΝΙΩΝ</w:t>
            </w:r>
          </w:p>
          <w:p w14:paraId="3219DA2B">
            <w:pPr>
              <w:spacing w:after="120" w:line="240" w:lineRule="auto"/>
              <w:ind w:right="642"/>
              <w:jc w:val="center"/>
              <w:rPr>
                <w:rFonts w:ascii="Tahoma" w:hAnsi="Tahoma" w:cs="Tahoma"/>
                <w:b/>
                <w:bCs/>
                <w:sz w:val="24"/>
                <w:szCs w:val="24"/>
              </w:rPr>
            </w:pPr>
            <w:r>
              <w:rPr>
                <w:rFonts w:ascii="Tahoma" w:hAnsi="Tahoma" w:cs="Tahoma"/>
                <w:b/>
                <w:bCs/>
                <w:sz w:val="24"/>
                <w:szCs w:val="24"/>
              </w:rPr>
              <w:t>2023-2027</w:t>
            </w:r>
          </w:p>
        </w:tc>
        <w:tc>
          <w:tcPr>
            <w:tcW w:w="2127" w:type="dxa"/>
            <w:vAlign w:val="center"/>
          </w:tcPr>
          <w:p w14:paraId="24D3620A">
            <w:pPr>
              <w:spacing w:after="120" w:line="240" w:lineRule="auto"/>
              <w:jc w:val="both"/>
              <w:rPr>
                <w:rFonts w:ascii="Tahoma" w:hAnsi="Tahoma" w:cs="Tahoma"/>
                <w:b/>
                <w:sz w:val="24"/>
                <w:szCs w:val="24"/>
              </w:rPr>
            </w:pPr>
            <w:r>
              <w:rPr>
                <w:rFonts w:ascii="Tahoma" w:hAnsi="Tahoma" w:cs="Tahoma"/>
                <w:sz w:val="24"/>
                <w:szCs w:val="24"/>
                <w:lang w:eastAsia="el-GR"/>
              </w:rPr>
              <w:drawing>
                <wp:inline distT="0" distB="0" distL="0" distR="0">
                  <wp:extent cx="1214755" cy="405130"/>
                  <wp:effectExtent l="0" t="0" r="0" b="0"/>
                  <wp:docPr id="7472173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17338" name="Εικόνα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14755" cy="405130"/>
                          </a:xfrm>
                          <a:prstGeom prst="rect">
                            <a:avLst/>
                          </a:prstGeom>
                          <a:noFill/>
                          <a:ln>
                            <a:noFill/>
                          </a:ln>
                        </pic:spPr>
                      </pic:pic>
                    </a:graphicData>
                  </a:graphic>
                </wp:inline>
              </w:drawing>
            </w:r>
          </w:p>
        </w:tc>
      </w:tr>
    </w:tbl>
    <w:p w14:paraId="259A04B1">
      <w:pPr>
        <w:tabs>
          <w:tab w:val="left" w:pos="0"/>
        </w:tabs>
        <w:spacing w:after="120" w:line="240" w:lineRule="auto"/>
        <w:ind w:right="-568"/>
        <w:jc w:val="both"/>
        <w:rPr>
          <w:rFonts w:ascii="Tahoma" w:hAnsi="Tahoma" w:cs="Tahoma"/>
          <w:b/>
          <w:sz w:val="24"/>
          <w:szCs w:val="24"/>
        </w:rPr>
      </w:pPr>
      <w:r>
        <w:rPr>
          <w:rFonts w:ascii="Tahoma" w:hAnsi="Tahoma" w:cs="Tahoma"/>
          <w:b/>
          <w:sz w:val="24"/>
          <w:szCs w:val="24"/>
        </w:rPr>
        <w:t xml:space="preserve">ΟΜΑΔΑ ΤΟΠΙΚΗΣ ΔΡΑΣΗΣ: Ο.Α.Κ. Α.Ε. </w:t>
      </w:r>
    </w:p>
    <w:p w14:paraId="20B2B2F3">
      <w:pPr>
        <w:tabs>
          <w:tab w:val="left" w:pos="0"/>
        </w:tabs>
        <w:spacing w:after="120" w:line="240" w:lineRule="auto"/>
        <w:ind w:right="84"/>
        <w:jc w:val="both"/>
        <w:rPr>
          <w:rFonts w:ascii="Tahoma" w:hAnsi="Tahoma" w:cs="Tahoma"/>
          <w:b/>
          <w:sz w:val="24"/>
          <w:szCs w:val="24"/>
        </w:rPr>
      </w:pPr>
    </w:p>
    <w:p w14:paraId="0287D40C">
      <w:pPr>
        <w:spacing w:after="120" w:line="240" w:lineRule="auto"/>
        <w:jc w:val="both"/>
        <w:rPr>
          <w:rFonts w:ascii="Tahoma" w:hAnsi="Tahoma" w:cs="Tahoma"/>
          <w:b/>
          <w:bCs/>
          <w:sz w:val="20"/>
          <w:szCs w:val="20"/>
          <w:u w:val="single"/>
        </w:rPr>
      </w:pPr>
    </w:p>
    <w:p w14:paraId="2FDE7394">
      <w:pPr>
        <w:spacing w:after="120" w:line="240" w:lineRule="auto"/>
        <w:jc w:val="both"/>
        <w:rPr>
          <w:rFonts w:ascii="Tahoma" w:hAnsi="Tahoma" w:cs="Tahoma"/>
          <w:b/>
          <w:bCs/>
          <w:sz w:val="20"/>
          <w:szCs w:val="20"/>
          <w:u w:val="single"/>
        </w:rPr>
      </w:pPr>
      <w:r>
        <w:rPr>
          <w:rFonts w:ascii="Tahoma" w:hAnsi="Tahoma" w:cs="Tahoma"/>
          <w:b/>
          <w:bCs/>
          <w:sz w:val="20"/>
          <w:szCs w:val="20"/>
          <w:u w:val="single"/>
        </w:rPr>
        <w:t>ΕΡΩΤΗΣΕΙΣ – ΑΠΑΝΤΗΣΕΙΣ / ΔΙΕΥΚΡΙΝΗΣΕΙΣ</w:t>
      </w:r>
    </w:p>
    <w:p w14:paraId="43D962A0">
      <w:pPr>
        <w:pStyle w:val="31"/>
        <w:numPr>
          <w:ilvl w:val="0"/>
          <w:numId w:val="1"/>
        </w:numPr>
        <w:spacing w:after="120" w:line="240" w:lineRule="auto"/>
        <w:ind w:left="567" w:hanging="567"/>
        <w:contextualSpacing w:val="0"/>
        <w:jc w:val="both"/>
        <w:rPr>
          <w:rFonts w:ascii="Tahoma" w:hAnsi="Tahoma" w:cs="Tahoma"/>
          <w:b/>
          <w:bCs/>
          <w:sz w:val="20"/>
          <w:szCs w:val="20"/>
        </w:rPr>
      </w:pPr>
      <w:r>
        <w:rPr>
          <w:rFonts w:ascii="Tahoma" w:hAnsi="Tahoma" w:cs="Tahoma"/>
          <w:b/>
          <w:bCs/>
          <w:sz w:val="20"/>
          <w:szCs w:val="20"/>
        </w:rPr>
        <w:t>ΣΧΕΤΙΚΑ ΜΕ ΤΗΝ ΕΦΑΡΜΟΓΗ ΤΗΣ Υ.Α.39443/2025 (Β’770) &amp; ΤΗΝ 1</w:t>
      </w:r>
      <w:r>
        <w:rPr>
          <w:rFonts w:ascii="Tahoma" w:hAnsi="Tahoma" w:cs="Tahoma"/>
          <w:b/>
          <w:bCs/>
          <w:sz w:val="20"/>
          <w:szCs w:val="20"/>
          <w:vertAlign w:val="superscript"/>
        </w:rPr>
        <w:t>η</w:t>
      </w:r>
      <w:r>
        <w:rPr>
          <w:rFonts w:ascii="Tahoma" w:hAnsi="Tahoma" w:cs="Tahoma"/>
          <w:b/>
          <w:bCs/>
          <w:sz w:val="20"/>
          <w:szCs w:val="20"/>
        </w:rPr>
        <w:t xml:space="preserve"> ΠΡΟΣΚΛΗΣΗ ΥΠΟΒΟΛΗΣ ΠΡΟΤΑΣΕΩΝ ΣΤΟ ΣΣ ΚΑΠ 2023-2027  ΓΙΑ ΠΡΑΞΕΙΣ ΔΗΜΟΣΙΟΥ ΧΑΡΑΚΤΗΡΑ</w:t>
      </w:r>
    </w:p>
    <w:p w14:paraId="05A97B15">
      <w:pPr>
        <w:spacing w:after="120" w:line="240" w:lineRule="auto"/>
        <w:jc w:val="both"/>
        <w:rPr>
          <w:rFonts w:ascii="Tahoma" w:hAnsi="Tahoma" w:cs="Tahoma"/>
          <w:sz w:val="20"/>
          <w:szCs w:val="20"/>
        </w:rPr>
      </w:pPr>
    </w:p>
    <w:p w14:paraId="51E377C5">
      <w:pPr>
        <w:spacing w:after="120" w:line="240" w:lineRule="auto"/>
        <w:jc w:val="both"/>
        <w:rPr>
          <w:rFonts w:ascii="Tahoma" w:hAnsi="Tahoma" w:cs="Tahoma"/>
          <w:sz w:val="20"/>
          <w:szCs w:val="20"/>
        </w:rPr>
      </w:pPr>
      <w:r>
        <w:rPr>
          <w:rFonts w:ascii="Tahoma" w:hAnsi="Tahoma" w:cs="Tahoma"/>
          <w:sz w:val="20"/>
          <w:szCs w:val="20"/>
        </w:rPr>
        <w:t>Κατόπιν σχετικών ερωτημάτων που έχουν γίνει στην υπηρεσία μας προς διευκρίνιση της εφαρμογής της υπ’ αριθμ. 39443/12.02.2025 απόφασης του Υπουργού Αγροτικής Ανάπτυξης και Τροφίμων (Β’ 770), αλλά και των σχετικών οδηγών , σας παραθέτουμε απαντήσεις – διευκρινήσεις που αφορούν τα παραπάνω.</w:t>
      </w:r>
    </w:p>
    <w:p w14:paraId="1E76A1AD">
      <w:pPr>
        <w:spacing w:after="120" w:line="240" w:lineRule="auto"/>
        <w:jc w:val="both"/>
        <w:rPr>
          <w:rFonts w:ascii="Tahoma" w:hAnsi="Tahoma" w:cs="Tahoma"/>
          <w:sz w:val="20"/>
          <w:szCs w:val="20"/>
        </w:rPr>
      </w:pPr>
    </w:p>
    <w:p w14:paraId="48252CE9">
      <w:pPr>
        <w:spacing w:after="120" w:line="240" w:lineRule="auto"/>
        <w:jc w:val="both"/>
        <w:rPr>
          <w:rFonts w:ascii="Tahoma" w:hAnsi="Tahoma" w:cs="Tahoma"/>
          <w:b/>
          <w:bCs/>
          <w:sz w:val="20"/>
          <w:szCs w:val="20"/>
          <w:u w:val="single"/>
        </w:rPr>
      </w:pPr>
      <w:r>
        <w:rPr>
          <w:rFonts w:ascii="Tahoma" w:hAnsi="Tahoma" w:cs="Tahoma"/>
          <w:b/>
          <w:bCs/>
          <w:sz w:val="20"/>
          <w:szCs w:val="20"/>
          <w:u w:val="single"/>
        </w:rPr>
        <w:t xml:space="preserve">Α. ΓΕΝΙΚΕΣ ΚΑΤΗΓΟΡΙΕΣ ΕΡΩΤΗΣΕΩΝ </w:t>
      </w:r>
    </w:p>
    <w:p w14:paraId="5538AFEC">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lang w:val="el-GR"/>
        </w:rPr>
        <w:t>Α</w:t>
      </w:r>
      <w:r>
        <w:rPr>
          <w:rFonts w:hint="default" w:ascii="Tahoma" w:hAnsi="Tahoma" w:cs="Tahoma"/>
          <w:b/>
          <w:bCs/>
          <w:i/>
          <w:iCs/>
          <w:sz w:val="20"/>
          <w:szCs w:val="20"/>
          <w:lang w:val="el-GR"/>
        </w:rPr>
        <w:t xml:space="preserve">) </w:t>
      </w:r>
      <w:r>
        <w:rPr>
          <w:rFonts w:ascii="Tahoma" w:hAnsi="Tahoma" w:cs="Tahoma"/>
          <w:b/>
          <w:bCs/>
          <w:i/>
          <w:iCs/>
          <w:sz w:val="20"/>
          <w:szCs w:val="20"/>
        </w:rPr>
        <w:t>Άρθρο 9, παρ. Β 4.1 : Να διευκρινιστεί ποια είναι τα οχήματα που αφορούν πράξεις κοινωνικού και περιβαλλοντικού χαρακτήρα.</w:t>
      </w:r>
    </w:p>
    <w:p w14:paraId="5DA89C85">
      <w:pPr>
        <w:pStyle w:val="31"/>
        <w:numPr>
          <w:ilvl w:val="0"/>
          <w:numId w:val="0"/>
        </w:numPr>
        <w:spacing w:after="120" w:line="240" w:lineRule="auto"/>
        <w:ind w:left="659" w:leftChars="163" w:hanging="300" w:hangingChars="150"/>
        <w:contextualSpacing w:val="0"/>
        <w:jc w:val="both"/>
        <w:rPr>
          <w:rFonts w:hint="default" w:ascii="Tahoma" w:hAnsi="Tahoma" w:cs="Tahoma"/>
          <w:b/>
          <w:bCs/>
          <w:i/>
          <w:iCs/>
          <w:sz w:val="20"/>
          <w:szCs w:val="20"/>
          <w:lang w:val="en-US"/>
        </w:rPr>
      </w:pPr>
      <w:r>
        <w:rPr>
          <w:rFonts w:hint="default" w:ascii="Tahoma" w:hAnsi="Tahoma" w:cs="Tahoma"/>
          <w:b/>
          <w:bCs/>
          <w:i/>
          <w:iCs/>
          <w:sz w:val="20"/>
          <w:szCs w:val="20"/>
          <w:lang w:val="el-GR"/>
        </w:rPr>
        <w:t xml:space="preserve">      Β) Είναι επιλέξιμη η αυτόνομη προμήθεια οχήματος, για πράξεις κοινωνικού και περιβαλλοντικού χαρακτήρα, χωρίς την ύπαρξη άλλης δαπάνης</w:t>
      </w:r>
      <w:r>
        <w:rPr>
          <w:rFonts w:hint="default" w:ascii="Tahoma" w:hAnsi="Tahoma" w:cs="Tahoma"/>
          <w:b/>
          <w:bCs/>
          <w:i/>
          <w:iCs/>
          <w:sz w:val="20"/>
          <w:szCs w:val="20"/>
          <w:lang w:val="en-US"/>
        </w:rPr>
        <w:t>;</w:t>
      </w:r>
    </w:p>
    <w:p w14:paraId="5290E8D0">
      <w:pPr>
        <w:pStyle w:val="31"/>
        <w:numPr>
          <w:ilvl w:val="0"/>
          <w:numId w:val="0"/>
        </w:numPr>
        <w:spacing w:after="120" w:line="240" w:lineRule="auto"/>
        <w:ind w:left="659" w:leftChars="163" w:hanging="300" w:hangingChars="150"/>
        <w:contextualSpacing w:val="0"/>
        <w:jc w:val="both"/>
        <w:rPr>
          <w:rFonts w:hint="default" w:ascii="Tahoma" w:hAnsi="Tahoma" w:cs="Tahoma"/>
          <w:b/>
          <w:bCs/>
          <w:i/>
          <w:iCs/>
          <w:sz w:val="20"/>
          <w:szCs w:val="20"/>
          <w:lang w:val="el-GR"/>
        </w:rPr>
      </w:pPr>
      <w:r>
        <w:rPr>
          <w:rFonts w:hint="default" w:ascii="Tahoma" w:hAnsi="Tahoma" w:cs="Tahoma"/>
          <w:b/>
          <w:bCs/>
          <w:i/>
          <w:iCs/>
          <w:sz w:val="20"/>
          <w:szCs w:val="20"/>
          <w:lang w:val="en-US"/>
        </w:rPr>
        <w:t xml:space="preserve">     </w:t>
      </w:r>
      <w:r>
        <w:rPr>
          <w:rFonts w:hint="default" w:ascii="Tahoma" w:hAnsi="Tahoma" w:cs="Tahoma"/>
          <w:b/>
          <w:bCs/>
          <w:i/>
          <w:iCs/>
          <w:sz w:val="20"/>
          <w:szCs w:val="20"/>
          <w:lang w:val="el-GR"/>
        </w:rPr>
        <w:t>Γ) Υπάρχει υποχρέωση για ηλεκτροκίνηση ή για πρόσβαση ΑΜΕΑ στο λεωφορείο (ακόμη και αν η πράξη δεν εξυπηρετεί ΑΜΕΑ)</w:t>
      </w:r>
      <w:r>
        <w:rPr>
          <w:rFonts w:hint="default" w:ascii="Tahoma" w:hAnsi="Tahoma" w:cs="Tahoma"/>
          <w:b/>
          <w:bCs/>
          <w:i/>
          <w:iCs/>
          <w:sz w:val="20"/>
          <w:szCs w:val="20"/>
          <w:lang w:val="en-US"/>
        </w:rPr>
        <w:t>;</w:t>
      </w:r>
    </w:p>
    <w:p w14:paraId="7AC1E34C">
      <w:pPr>
        <w:spacing w:after="120" w:line="240" w:lineRule="auto"/>
        <w:ind w:left="720"/>
        <w:jc w:val="both"/>
        <w:rPr>
          <w:rFonts w:ascii="Tahoma" w:hAnsi="Tahoma" w:cs="Tahoma"/>
          <w:sz w:val="20"/>
          <w:szCs w:val="20"/>
        </w:rPr>
      </w:pPr>
      <w:r>
        <w:rPr>
          <w:rFonts w:ascii="Tahoma" w:hAnsi="Tahoma" w:cs="Tahoma"/>
          <w:sz w:val="20"/>
          <w:szCs w:val="20"/>
          <w:lang w:val="el-GR"/>
        </w:rPr>
        <w:t>Α</w:t>
      </w:r>
      <w:r>
        <w:rPr>
          <w:rFonts w:hint="default" w:ascii="Tahoma" w:hAnsi="Tahoma" w:cs="Tahoma"/>
          <w:sz w:val="20"/>
          <w:szCs w:val="20"/>
          <w:lang w:val="el-GR"/>
        </w:rPr>
        <w:t xml:space="preserve">) </w:t>
      </w:r>
      <w:r>
        <w:rPr>
          <w:rFonts w:ascii="Tahoma" w:hAnsi="Tahoma" w:cs="Tahoma"/>
          <w:sz w:val="20"/>
          <w:szCs w:val="20"/>
        </w:rPr>
        <w:t>Είναι τα οχήματα τα οποία εξυπηρετούν σκοπούς περιβαλλοντικούς και κοινωνικούς, με βάση τον τύπο και τη διαμόρφωση του οχήματος.</w:t>
      </w:r>
    </w:p>
    <w:p w14:paraId="24174DF3">
      <w:pPr>
        <w:spacing w:after="120" w:line="240" w:lineRule="auto"/>
        <w:ind w:left="720"/>
        <w:jc w:val="both"/>
        <w:rPr>
          <w:rFonts w:hint="default" w:ascii="Tahoma" w:hAnsi="Tahoma" w:cs="Tahoma"/>
          <w:sz w:val="20"/>
          <w:szCs w:val="20"/>
          <w:lang w:val="el-GR"/>
        </w:rPr>
      </w:pPr>
      <w:r>
        <w:rPr>
          <w:rFonts w:ascii="Tahoma" w:hAnsi="Tahoma" w:cs="Tahoma"/>
          <w:sz w:val="20"/>
          <w:szCs w:val="20"/>
          <w:lang w:val="el-GR"/>
        </w:rPr>
        <w:t>Β</w:t>
      </w:r>
      <w:r>
        <w:rPr>
          <w:rFonts w:hint="default" w:ascii="Tahoma" w:hAnsi="Tahoma" w:cs="Tahoma"/>
          <w:sz w:val="20"/>
          <w:szCs w:val="20"/>
          <w:lang w:val="el-GR"/>
        </w:rPr>
        <w:t>) Σύμφωνα με την ΥΑ το όριο που τίθεται στην παρ. 4.2 του άρθρου 9, δεν αφορά πράξεις κοινωνικού και περιβαλλοντικού χαρακτήρα. Συνεπώς, μπορεί να είναι επιλέξιμη πράξη η προμήθεια μόνο ενός οχήματος, αρκεί να αποδεικνύεται η αναγκαιότητα και το ολοκληρωμένο αποτέλεσμα της πράξης. Σύμφωνα με την επικείμενη τροποποίηση της ΥΑ η παραπάνω εξαίρεση για πράξεις κοινωνικού και περιβαλλοντικού χαρακτήρα, θα αφορά μόνο σε παρεμβάσεις δημόσιου χαρακτήρα.</w:t>
      </w:r>
    </w:p>
    <w:p w14:paraId="61787F64">
      <w:pPr>
        <w:spacing w:after="120" w:line="240" w:lineRule="auto"/>
        <w:ind w:left="720"/>
        <w:jc w:val="both"/>
        <w:rPr>
          <w:rFonts w:hint="default" w:ascii="Tahoma" w:hAnsi="Tahoma" w:cs="Tahoma"/>
          <w:sz w:val="20"/>
          <w:szCs w:val="20"/>
          <w:lang w:val="el-GR"/>
        </w:rPr>
      </w:pPr>
      <w:r>
        <w:rPr>
          <w:rFonts w:hint="default" w:ascii="Tahoma" w:hAnsi="Tahoma" w:cs="Tahoma"/>
          <w:sz w:val="20"/>
          <w:szCs w:val="20"/>
          <w:lang w:val="el-GR"/>
        </w:rPr>
        <w:t>Γ) Δεν υπάρχει περιορισμός για το είδος κινητήρα του οχήματος στο θεσμικό πλαίσιο. Η πρόσβαση ΑΜΕΑ στο όχημα εξαρτάται από τη φύση της πράξης. Σημειώνεται ότι δεν είναι επιλέξιμα τα απλά οχήματα μεταφοράς του γενικού πληθυσμού, τα οποία δεν προορίζονται για την εξυπηρέτηση ειδικών ομάδων πληθυσμού των οποίων οι ανάγκες δεν μπορούν να καλυφθούν από τις υφιστάμενες υπηρεσίες. Τα οχήματα αυτά δεν εξυπηρετούν το σύνολο των κατοίκων της περιοχής κάτι που έρχεται σε αντίθεση με τους κανονιστικούς όρους ως προς την ενίσχυση πράξεων χωρίς διακρίσεις. Παράλληλα, η απλή μεταφορά των κατοίκων καλύπτεται από την αστική/Δημοτική συγκοινωνία ή τα ΚΤΕΛ.</w:t>
      </w:r>
    </w:p>
    <w:p w14:paraId="7B39D065">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Άρθρο 9, παρ.Β7 : Είναι απαραίτητο να συμπεριληφθούν τα προσύμφωνα αγοράς μίσθωσης , παραχώρησης ;</w:t>
      </w:r>
    </w:p>
    <w:p w14:paraId="73FCA135">
      <w:pPr>
        <w:spacing w:after="120" w:line="240" w:lineRule="auto"/>
        <w:ind w:left="720"/>
        <w:jc w:val="both"/>
        <w:rPr>
          <w:rFonts w:ascii="Tahoma" w:hAnsi="Tahoma" w:cs="Tahoma"/>
          <w:sz w:val="20"/>
          <w:szCs w:val="20"/>
        </w:rPr>
      </w:pPr>
      <w:r>
        <w:rPr>
          <w:rFonts w:ascii="Tahoma" w:hAnsi="Tahoma" w:cs="Tahoma"/>
          <w:sz w:val="20"/>
          <w:szCs w:val="20"/>
        </w:rPr>
        <w:t>Ναι, τα προσύμφωνα αγοράς, μίσθωσης και παραχώρησης αναφέρονται στις εγκυκλίους που αφορούν στις προσκλήσεις πράξεων δημόσιου χαρακτήρα.</w:t>
      </w:r>
    </w:p>
    <w:p w14:paraId="3DC16B76">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Άρθρο 14Γ, παρ. 7β : </w:t>
      </w:r>
      <w:r>
        <w:rPr>
          <w:rFonts w:hint="default" w:ascii="Tahoma" w:hAnsi="Tahoma" w:cs="Tahoma"/>
          <w:b/>
          <w:bCs/>
          <w:i/>
          <w:iCs/>
          <w:sz w:val="20"/>
          <w:szCs w:val="20"/>
          <w:lang w:val="el-GR"/>
        </w:rPr>
        <w:t xml:space="preserve"> Α) </w:t>
      </w:r>
      <w:r>
        <w:rPr>
          <w:rFonts w:ascii="Tahoma" w:hAnsi="Tahoma" w:cs="Tahoma"/>
          <w:b/>
          <w:bCs/>
          <w:i/>
          <w:iCs/>
          <w:sz w:val="20"/>
          <w:szCs w:val="20"/>
        </w:rPr>
        <w:t>Στις δαπάνες για τις οποίες δεν απαιτείται τεκμηρίωση εύλογου κόστους, υπάγονται οι δαπάνες της παραγράφου 9α και 9β του ίδιου άρθρου ;</w:t>
      </w:r>
    </w:p>
    <w:p w14:paraId="1DCB824B">
      <w:pPr>
        <w:pStyle w:val="31"/>
        <w:numPr>
          <w:ilvl w:val="0"/>
          <w:numId w:val="0"/>
        </w:numPr>
        <w:spacing w:after="120" w:line="240" w:lineRule="auto"/>
        <w:ind w:left="659" w:leftChars="163" w:hanging="300" w:hangingChars="150"/>
        <w:contextualSpacing w:val="0"/>
        <w:jc w:val="both"/>
        <w:rPr>
          <w:rFonts w:hint="default" w:ascii="Tahoma" w:hAnsi="Tahoma" w:cs="Tahoma"/>
          <w:b/>
          <w:bCs/>
          <w:i/>
          <w:iCs/>
          <w:sz w:val="20"/>
          <w:szCs w:val="20"/>
          <w:lang w:val="en-US"/>
        </w:rPr>
      </w:pPr>
      <w:r>
        <w:rPr>
          <w:rFonts w:hint="default" w:ascii="Tahoma" w:hAnsi="Tahoma" w:cs="Tahoma"/>
          <w:b/>
          <w:bCs/>
          <w:i/>
          <w:iCs/>
          <w:sz w:val="20"/>
          <w:szCs w:val="20"/>
          <w:lang w:val="el-GR"/>
        </w:rPr>
        <w:t xml:space="preserve">      Β) Είναι υποχρεωτικό ο ΕΦ να επαληθεύσει το εύλογο κόστος και για τις περιπτώσεις εφαρμογής απλοποιημένου κόστους</w:t>
      </w:r>
      <w:r>
        <w:rPr>
          <w:rFonts w:hint="default" w:ascii="Tahoma" w:hAnsi="Tahoma" w:cs="Tahoma"/>
          <w:b/>
          <w:bCs/>
          <w:i/>
          <w:iCs/>
          <w:sz w:val="20"/>
          <w:szCs w:val="20"/>
          <w:lang w:val="en-US"/>
        </w:rPr>
        <w:t>;</w:t>
      </w:r>
    </w:p>
    <w:p w14:paraId="4044556D">
      <w:pPr>
        <w:numPr>
          <w:ilvl w:val="0"/>
          <w:numId w:val="3"/>
        </w:numPr>
        <w:spacing w:after="120" w:line="240" w:lineRule="auto"/>
        <w:ind w:left="720"/>
        <w:jc w:val="both"/>
        <w:rPr>
          <w:rFonts w:ascii="Tahoma" w:hAnsi="Tahoma" w:cs="Tahoma"/>
          <w:sz w:val="20"/>
          <w:szCs w:val="20"/>
        </w:rPr>
      </w:pPr>
      <w:r>
        <w:rPr>
          <w:rFonts w:ascii="Tahoma" w:hAnsi="Tahoma" w:cs="Tahoma"/>
          <w:sz w:val="20"/>
          <w:szCs w:val="20"/>
        </w:rPr>
        <w:t>Ναι, υπάγονται και αυτές στην παρ. 7β. Σε κάθε περίπτωση ο αρμόδιος ΕΦ υποχρεούται, εφόσον είναι εφικτό, να επαληθεύσει το εύλογο κόστος των δαπανών της παρ. 7, τηρώντας σχετικό αποδεικτικό υλικό, εκτός των δαπανών που έχουν προκύψει από διαγωνιστική διαδικασία και έχουν υπολογιστεί βάση των Ενιαίων Τιμολογίων Δημοσίων Έργων. Επιπροσθέτως, σημειώνουμε ότι ο αρμόδιος ΕΦ για τον έλεγχο, έχει την υποχρέωση της αποτύπωσης της διενέργειας του ελέγχου άσχετα με το αποτέλεσμα αυτής.</w:t>
      </w:r>
    </w:p>
    <w:p w14:paraId="4E5168C3">
      <w:pPr>
        <w:numPr>
          <w:ilvl w:val="0"/>
          <w:numId w:val="3"/>
        </w:numPr>
        <w:spacing w:after="120" w:line="240" w:lineRule="auto"/>
        <w:ind w:left="720"/>
        <w:jc w:val="both"/>
        <w:rPr>
          <w:rFonts w:ascii="Tahoma" w:hAnsi="Tahoma" w:cs="Tahoma"/>
          <w:sz w:val="20"/>
          <w:szCs w:val="20"/>
        </w:rPr>
      </w:pPr>
      <w:r>
        <w:rPr>
          <w:rFonts w:hint="default" w:ascii="Tahoma" w:hAnsi="Tahoma" w:cs="Tahoma"/>
          <w:sz w:val="20"/>
          <w:szCs w:val="20"/>
          <w:lang w:val="el-GR"/>
        </w:rPr>
        <w:t>Ο ΕΦ είναι υποχρεωμένος να επαληθεύσει την ορθή εφαρμογή του οδηγού απλοποιημένου κόστους, σε περίπτωση που γίνεται χρήση του, χωρίς να απαιτείται να επαληθεύσει το εύλογο κόστος. Για τις υπόλοιπες δαπάνες ισχύουν όσα αναγράφονται παραπάνω στην απάντηση Α).</w:t>
      </w:r>
    </w:p>
    <w:p w14:paraId="188DFBFC">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Άρθρο 14Γ, παρ. 9β : Στις μελέτες της παραγράφου συμπεριλαμβάνονται οι δαπάνες απόκτησης συστημάτων διαχείρισης ποιότητας ;</w:t>
      </w:r>
    </w:p>
    <w:p w14:paraId="1A08ADAB">
      <w:pPr>
        <w:spacing w:after="120" w:line="240" w:lineRule="auto"/>
        <w:ind w:left="720"/>
        <w:jc w:val="both"/>
        <w:rPr>
          <w:rFonts w:ascii="Tahoma" w:hAnsi="Tahoma" w:cs="Tahoma"/>
          <w:sz w:val="20"/>
          <w:szCs w:val="20"/>
        </w:rPr>
      </w:pPr>
      <w:r>
        <w:rPr>
          <w:rFonts w:ascii="Tahoma" w:hAnsi="Tahoma" w:cs="Tahoma"/>
          <w:sz w:val="20"/>
          <w:szCs w:val="20"/>
        </w:rPr>
        <w:t>Αν και η συγκεκριμένη δαπάνη συγκαταλέγεται στις μελέτες , λόγω σημαντικής διακύμανσης τιμών στην αγορά, είναι σκόπιμο να εξετάζεται και να επαληθεύεται το εύλογο κόστος.</w:t>
      </w:r>
    </w:p>
    <w:p w14:paraId="59FB38A9">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Άρθρο 14Γ, παρ. 9β : </w:t>
      </w:r>
      <w:r>
        <w:rPr>
          <w:rFonts w:ascii="Tahoma" w:hAnsi="Tahoma" w:cs="Tahoma"/>
          <w:b/>
          <w:bCs/>
          <w:i/>
          <w:iCs/>
          <w:sz w:val="20"/>
          <w:szCs w:val="20"/>
          <w:lang w:val="el-GR"/>
        </w:rPr>
        <w:t>Α</w:t>
      </w:r>
      <w:r>
        <w:rPr>
          <w:rFonts w:ascii="Tahoma" w:hAnsi="Tahoma" w:cs="Tahoma"/>
          <w:b/>
          <w:bCs/>
          <w:i/>
          <w:iCs/>
          <w:sz w:val="20"/>
          <w:szCs w:val="20"/>
        </w:rPr>
        <w:t>) Με ποια μεθοδολογία θα ελέγχεται το όριο 12%, εφόσον σε μια πράξη έχουμε κατηγορίες δαπάνης που αφορούν σε δράσεις ενημέρωσης και μελέτες – έρευνες, που δεν αφορούν στην εκτέλεση του έργου ;</w:t>
      </w:r>
    </w:p>
    <w:p w14:paraId="1E9D36CE">
      <w:pPr>
        <w:pStyle w:val="31"/>
        <w:spacing w:after="120" w:line="240" w:lineRule="auto"/>
        <w:contextualSpacing w:val="0"/>
        <w:jc w:val="both"/>
        <w:rPr>
          <w:rFonts w:ascii="Tahoma" w:hAnsi="Tahoma" w:cs="Tahoma"/>
          <w:b/>
          <w:bCs/>
          <w:i/>
          <w:iCs/>
          <w:sz w:val="20"/>
          <w:szCs w:val="20"/>
        </w:rPr>
      </w:pPr>
      <w:r>
        <w:rPr>
          <w:rFonts w:ascii="Tahoma" w:hAnsi="Tahoma" w:cs="Tahoma"/>
          <w:b/>
          <w:bCs/>
          <w:i/>
          <w:iCs/>
          <w:sz w:val="20"/>
          <w:szCs w:val="20"/>
          <w:lang w:val="el-GR"/>
        </w:rPr>
        <w:t>Β</w:t>
      </w:r>
      <w:r>
        <w:rPr>
          <w:rFonts w:ascii="Tahoma" w:hAnsi="Tahoma" w:cs="Tahoma"/>
          <w:b/>
          <w:bCs/>
          <w:i/>
          <w:iCs/>
          <w:sz w:val="20"/>
          <w:szCs w:val="20"/>
        </w:rPr>
        <w:t>) Επιπλέον στο ίδιο άρθρο της ΥΑ αναφέρεται, ότι σε ειδικές περιπτώσεις θα ζητείται η σύμφωνη γνώμη της ΕΥΕ ΠΑΑ. Σε ποια χρονική στιγμή θα γίνεται αυτό, λαμβάνοντας υπόψη ότι τυχόν περικοπή επηρεάζει το αντίστοιχο βαθμολογούμενο κριτήριο ή και την επιλεξιμότητα της πράξης ;</w:t>
      </w:r>
    </w:p>
    <w:p w14:paraId="09671E67">
      <w:pPr>
        <w:pStyle w:val="31"/>
        <w:spacing w:after="120" w:line="240" w:lineRule="auto"/>
        <w:contextualSpacing w:val="0"/>
        <w:jc w:val="both"/>
        <w:rPr>
          <w:rFonts w:ascii="Tahoma" w:hAnsi="Tahoma" w:cs="Tahoma"/>
          <w:sz w:val="20"/>
          <w:szCs w:val="20"/>
        </w:rPr>
      </w:pPr>
    </w:p>
    <w:p w14:paraId="5406133C">
      <w:pPr>
        <w:pStyle w:val="31"/>
        <w:spacing w:after="120" w:line="240" w:lineRule="auto"/>
        <w:ind w:left="1134" w:hanging="414"/>
        <w:contextualSpacing w:val="0"/>
        <w:jc w:val="both"/>
        <w:rPr>
          <w:rFonts w:ascii="Tahoma" w:hAnsi="Tahoma" w:cs="Tahoma"/>
          <w:sz w:val="20"/>
          <w:szCs w:val="20"/>
        </w:rPr>
      </w:pPr>
      <w:r>
        <w:rPr>
          <w:rFonts w:ascii="Tahoma" w:hAnsi="Tahoma" w:cs="Tahoma"/>
          <w:sz w:val="20"/>
          <w:szCs w:val="20"/>
          <w:lang w:val="el-GR"/>
        </w:rPr>
        <w:t>Α</w:t>
      </w:r>
      <w:r>
        <w:rPr>
          <w:rFonts w:ascii="Tahoma" w:hAnsi="Tahoma" w:cs="Tahoma"/>
          <w:sz w:val="20"/>
          <w:szCs w:val="20"/>
        </w:rPr>
        <w:t>) Σύμφωνα με την ΥΑ το ποσοστό 12%, αντιστοιχεί στον προτεινόμενο προϋπολογισμό της πράξης και επομένως στο ποσοστό αυτό εμπίπτει το σύνολο των μελετών ως άθροισμα των επιμέρους μελετών. Συνεπώς δεν μπορεί ο υπολογισμός του ποσοστού αυτού να γίνει μόνο σε συγκεκριμένες δαπάνες ή ανά υπο-έργο. Επιπλέον, σημειώνουμε ότι οι μελέτες για να αποτελούν επιλέξιμη δαπάνη θα πρέπει να αποτελούν υποχρεωτική δαπάνη για την υλοποίηση της πράξης.</w:t>
      </w:r>
    </w:p>
    <w:p w14:paraId="50F2AE96">
      <w:pPr>
        <w:pStyle w:val="31"/>
        <w:spacing w:after="120" w:line="240" w:lineRule="auto"/>
        <w:ind w:left="1134" w:hanging="414"/>
        <w:contextualSpacing w:val="0"/>
        <w:jc w:val="both"/>
        <w:rPr>
          <w:rFonts w:ascii="Tahoma" w:hAnsi="Tahoma" w:cs="Tahoma"/>
          <w:sz w:val="20"/>
          <w:szCs w:val="20"/>
        </w:rPr>
      </w:pPr>
      <w:r>
        <w:rPr>
          <w:rFonts w:ascii="Tahoma" w:hAnsi="Tahoma" w:cs="Tahoma"/>
          <w:sz w:val="20"/>
          <w:szCs w:val="20"/>
          <w:lang w:val="el-GR"/>
        </w:rPr>
        <w:t>Β</w:t>
      </w:r>
      <w:r>
        <w:rPr>
          <w:rFonts w:ascii="Tahoma" w:hAnsi="Tahoma" w:cs="Tahoma"/>
          <w:sz w:val="20"/>
          <w:szCs w:val="20"/>
        </w:rPr>
        <w:t>) Κατά την αξιολόγηση της πράξης και πριν την έκδοση των οριστικών αποτελεσμάτων.</w:t>
      </w:r>
    </w:p>
    <w:p w14:paraId="40A9CD94">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Άρθρο 14Β, παρ.2 : Πως εξετάζονται οι ισοβαθμούντες αιτήσεις στήριξης ; </w:t>
      </w:r>
    </w:p>
    <w:p w14:paraId="06A63741">
      <w:pPr>
        <w:spacing w:after="120" w:line="240" w:lineRule="auto"/>
        <w:ind w:left="700" w:hanging="700" w:hangingChars="350"/>
        <w:jc w:val="both"/>
        <w:rPr>
          <w:rFonts w:ascii="Tahoma" w:hAnsi="Tahoma" w:cs="Tahoma"/>
          <w:sz w:val="20"/>
          <w:szCs w:val="20"/>
        </w:rPr>
      </w:pPr>
      <w:r>
        <w:rPr>
          <w:rFonts w:hint="default" w:ascii="Tahoma" w:hAnsi="Tahoma" w:cs="Tahoma"/>
          <w:b/>
          <w:bCs/>
          <w:i/>
          <w:iCs/>
          <w:sz w:val="20"/>
          <w:szCs w:val="20"/>
          <w:lang w:val="el-GR"/>
        </w:rPr>
        <w:t xml:space="preserve">            </w:t>
      </w:r>
      <w:r>
        <w:rPr>
          <w:rFonts w:ascii="Tahoma" w:hAnsi="Tahoma" w:cs="Tahoma"/>
          <w:sz w:val="20"/>
          <w:szCs w:val="20"/>
        </w:rPr>
        <w:t xml:space="preserve">Σε περίπτωση ισοβαθμούντων αιτήσεων, εξετάζεται η βαθμολογία τους στο κριτήριο επιλογής με τη μεγαλύτερη βαρύτητα. Αν υπάρξει εκ νέου ισοβαθμία εξετάζεται η βαθμολογία τους στο επόμενο κριτήριο επιλογής με την μεγαλύτερη βαρύτητα, συνεχίζοντας με τον ίδιο τρόπο ώστε να μην υπάρχει ισοβαθμία ή έως την εξάντληση του προϋπολογισμού της υπο-παρέμβασης. </w:t>
      </w:r>
    </w:p>
    <w:p w14:paraId="22A894DA">
      <w:pPr>
        <w:spacing w:after="120" w:line="240" w:lineRule="auto"/>
        <w:ind w:left="700" w:hanging="700" w:hangingChars="350"/>
        <w:jc w:val="both"/>
        <w:rPr>
          <w:rFonts w:hint="default" w:ascii="Tahoma" w:hAnsi="Tahoma" w:cs="Tahoma"/>
          <w:sz w:val="20"/>
          <w:szCs w:val="20"/>
          <w:lang w:val="el-GR"/>
        </w:rPr>
      </w:pPr>
    </w:p>
    <w:p w14:paraId="3D003B67">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lang w:val="el-GR"/>
        </w:rPr>
        <w:t>Άρθρο</w:t>
      </w:r>
      <w:r>
        <w:rPr>
          <w:rFonts w:hint="default" w:ascii="Tahoma" w:hAnsi="Tahoma" w:cs="Tahoma"/>
          <w:b/>
          <w:bCs/>
          <w:i/>
          <w:iCs/>
          <w:sz w:val="20"/>
          <w:szCs w:val="20"/>
          <w:lang w:val="el-GR"/>
        </w:rPr>
        <w:t xml:space="preserve"> 14Γ παρ. 9β : Ο προεινόμενος προϋπολογισμός της πράξης που αναφέρεται στη συγκεκριμένη παράγραφο συμπεριλαμβάνει και τον αναλογούντα ΦΠΑ</w:t>
      </w:r>
      <w:r>
        <w:rPr>
          <w:rFonts w:hint="default" w:ascii="Tahoma" w:hAnsi="Tahoma" w:cs="Tahoma"/>
          <w:b/>
          <w:bCs/>
          <w:i/>
          <w:iCs/>
          <w:sz w:val="20"/>
          <w:szCs w:val="20"/>
          <w:lang w:val="en-US"/>
        </w:rPr>
        <w:t xml:space="preserve"> ;</w:t>
      </w:r>
    </w:p>
    <w:p w14:paraId="2C078720">
      <w:pPr>
        <w:pStyle w:val="31"/>
        <w:numPr>
          <w:ilvl w:val="0"/>
          <w:numId w:val="0"/>
        </w:numPr>
        <w:spacing w:after="120" w:line="240" w:lineRule="auto"/>
        <w:ind w:left="759" w:leftChars="163" w:hanging="400" w:hangingChars="200"/>
        <w:contextualSpacing w:val="0"/>
        <w:jc w:val="both"/>
        <w:rPr>
          <w:rFonts w:hint="default" w:ascii="Tahoma" w:hAnsi="Tahoma" w:cs="Tahoma"/>
          <w:b w:val="0"/>
          <w:bCs w:val="0"/>
          <w:i w:val="0"/>
          <w:iCs w:val="0"/>
          <w:sz w:val="20"/>
          <w:szCs w:val="20"/>
          <w:lang w:val="el-GR"/>
        </w:rPr>
      </w:pPr>
      <w:r>
        <w:rPr>
          <w:rFonts w:hint="default" w:ascii="Tahoma" w:hAnsi="Tahoma" w:cs="Tahoma"/>
          <w:b/>
          <w:bCs/>
          <w:i/>
          <w:iCs/>
          <w:sz w:val="20"/>
          <w:szCs w:val="20"/>
          <w:lang w:val="en-US"/>
        </w:rPr>
        <w:t xml:space="preserve">      </w:t>
      </w:r>
      <w:r>
        <w:rPr>
          <w:rFonts w:hint="default" w:ascii="Tahoma" w:hAnsi="Tahoma" w:cs="Tahoma"/>
          <w:b w:val="0"/>
          <w:bCs w:val="0"/>
          <w:i w:val="0"/>
          <w:iCs w:val="0"/>
          <w:sz w:val="20"/>
          <w:szCs w:val="20"/>
          <w:lang w:val="el-GR"/>
        </w:rPr>
        <w:t>Όχι, ο προτεινόμενος προϋπολογισμός δεν περιλαμβάνει τη δαπάνη του ΦΠΑ, όπως αναγράφεται στην αρχή της παραγράφου 9 του άρθρου 14Γ.</w:t>
      </w:r>
    </w:p>
    <w:p w14:paraId="6CAFECE3">
      <w:pPr>
        <w:pStyle w:val="31"/>
        <w:numPr>
          <w:ilvl w:val="0"/>
          <w:numId w:val="0"/>
        </w:numPr>
        <w:spacing w:after="120" w:line="240" w:lineRule="auto"/>
        <w:ind w:left="759" w:leftChars="163" w:hanging="400" w:hangingChars="200"/>
        <w:contextualSpacing w:val="0"/>
        <w:jc w:val="both"/>
        <w:rPr>
          <w:rFonts w:hint="default" w:ascii="Tahoma" w:hAnsi="Tahoma" w:cs="Tahoma"/>
          <w:b w:val="0"/>
          <w:bCs w:val="0"/>
          <w:i w:val="0"/>
          <w:iCs w:val="0"/>
          <w:sz w:val="20"/>
          <w:szCs w:val="20"/>
          <w:lang w:val="el-GR"/>
        </w:rPr>
      </w:pPr>
    </w:p>
    <w:p w14:paraId="3BCC8BED">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Στην περίπτωση που ένα κτήριο είναι ημιτελές, μπορεί ο δικαιούχος να μην αιτηθεί μόνο τις δαπάνες που έχουν ήδη πραγματοποιηθεί και το συνολικό επιλέξιμο κόστος που θα αιτηθεί να αφορά τις δαπάνες που απομένουν για την ολοκλήρωσή του ;</w:t>
      </w:r>
    </w:p>
    <w:p w14:paraId="3120CA95">
      <w:pPr>
        <w:spacing w:after="120" w:line="240" w:lineRule="auto"/>
        <w:ind w:left="720"/>
        <w:jc w:val="both"/>
        <w:rPr>
          <w:rFonts w:ascii="Tahoma" w:hAnsi="Tahoma" w:cs="Tahoma"/>
          <w:sz w:val="20"/>
          <w:szCs w:val="20"/>
        </w:rPr>
      </w:pPr>
      <w:r>
        <w:rPr>
          <w:rFonts w:ascii="Tahoma" w:hAnsi="Tahoma" w:cs="Tahoma"/>
          <w:sz w:val="20"/>
          <w:szCs w:val="20"/>
        </w:rPr>
        <w:t>Στις περιπτώσεις ημιτελών κτηρίων ο δυνητικός δικαιούχος μπορεί να αιτηθεί μόνο τις δαπάνες που υπολείπονται για την ολοκλήρωση της πράξης. Στη συγκεκριμένη περίπτωση ο συνολικός προϋπολογισμός θα εξετάζεται ως προς το σύνολο δαπανών για την ολοκλήρωση της πράξης. Σε κάθε περίπτωση όμως θα πρέπει να εξεταστεί αν ο δικαιούχος προσπαθεί με τεχνητούς τρόπους να παραβιάσει τους όρους επιλεξιμότητας.</w:t>
      </w:r>
    </w:p>
    <w:p w14:paraId="7420B152">
      <w:pPr>
        <w:spacing w:after="120" w:line="240" w:lineRule="auto"/>
        <w:ind w:left="720"/>
        <w:jc w:val="both"/>
        <w:rPr>
          <w:rFonts w:ascii="Tahoma" w:hAnsi="Tahoma" w:cs="Tahoma"/>
          <w:sz w:val="20"/>
          <w:szCs w:val="20"/>
        </w:rPr>
      </w:pPr>
    </w:p>
    <w:p w14:paraId="5208748B">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Σε περίπτωση αίτησης στήριξης, όπου το ακίνητο περιέχει αυθαίρετη κατασκευή, θα πρέπει να έχουν συμπεριληφθεί στον εγκεκριμένο προϋπολογισμό και τα τετραγωνικά του αυθαιρέτου; Για την αντιμετώπιση του ζητήματος νομιμότητας θα πρέπει να υπάρχει στο πληροφοριακό και τεκμηρίωση υπαγωγής σε νόμο τακτοποίησης; Θα πρέπει να ζητείται ως προαπαιτούμενο κατά την υποβολή των αιτήσεων στήριξης , η ύπαρξη «Ηλεκτρονικής Ταυτότητας Κτηρίου»;</w:t>
      </w:r>
    </w:p>
    <w:p w14:paraId="296BDE1A">
      <w:pPr>
        <w:spacing w:after="120" w:line="240" w:lineRule="auto"/>
        <w:ind w:left="720"/>
        <w:jc w:val="both"/>
        <w:rPr>
          <w:rFonts w:ascii="Tahoma" w:hAnsi="Tahoma" w:cs="Tahoma"/>
          <w:sz w:val="20"/>
          <w:szCs w:val="20"/>
        </w:rPr>
      </w:pPr>
      <w:r>
        <w:rPr>
          <w:rFonts w:ascii="Tahoma" w:hAnsi="Tahoma" w:cs="Tahoma"/>
          <w:sz w:val="20"/>
          <w:szCs w:val="20"/>
        </w:rPr>
        <w:t>Οπωσδήποτε θα έχει γίνει υπαγωγή σε νόμο τακτοποίησης πριν την υποβολή της αίτησης στήριξης και θα πρέπει να συμπεριληφθούν τα συγκεκριμένα τ.μ. στον εγκεκριμένο προϋπολογισμό. Η «Ηλεκτρονική Ταυτότητα Κτηρίου» ζητείται κατά την υποβολή των αιτήσεων στήριξης, σε όσες περιπτώσεις απαιτείται από το σχετικό θεσμικό πλαίσιο.</w:t>
      </w:r>
    </w:p>
    <w:p w14:paraId="6684480B">
      <w:pPr>
        <w:spacing w:after="120" w:line="240" w:lineRule="auto"/>
        <w:ind w:left="720"/>
        <w:jc w:val="both"/>
        <w:rPr>
          <w:rFonts w:ascii="Tahoma" w:hAnsi="Tahoma" w:cs="Tahoma"/>
          <w:sz w:val="20"/>
          <w:szCs w:val="20"/>
        </w:rPr>
      </w:pPr>
    </w:p>
    <w:p w14:paraId="2A344A9D">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Τι γίνεται σε περίπτωση που δεν μπορεί να ολοκληρωθεί το έργο, λόγω αύξησης του προϋπολογισμού από μεγάλη ζημιά από φυσική καταστροφή; Αν ο δικαιούχος επιθυμεί να το ολοκληρώσει, μπορεί να αιτηθεί αύξηση του προϋπολογισμού του έργου (είτε είναι ιδιωτικό είτε είναι δημόσιο) για λόγους ανωτέρας βίας;</w:t>
      </w:r>
    </w:p>
    <w:p w14:paraId="331F213C">
      <w:pPr>
        <w:spacing w:after="120" w:line="240" w:lineRule="auto"/>
        <w:ind w:left="720"/>
        <w:jc w:val="both"/>
        <w:rPr>
          <w:rFonts w:ascii="Tahoma" w:hAnsi="Tahoma" w:cs="Tahoma"/>
          <w:sz w:val="20"/>
          <w:szCs w:val="20"/>
        </w:rPr>
      </w:pPr>
      <w:r>
        <w:rPr>
          <w:rFonts w:ascii="Tahoma" w:hAnsi="Tahoma" w:cs="Tahoma"/>
          <w:sz w:val="20"/>
          <w:szCs w:val="20"/>
        </w:rPr>
        <w:t>Στις περιπτώσεις ανωτέρας βίας και εξαιρετικές περιστάσεις εφαρμόζονται τα προβλεπόμενα στο άρθρο 26 της ΥΑ. Δύναται να δικαιολογηθεί περαιτέρω αύξηση του συνολικού προϋπολογισμού, χωρίς αντίστοιχη αύξηση της αρχικής επιλέξιμης δημόσιας δαπάνης του έργου, προκειμένου να κατασκευαστούν επείγοντα έργα που κρίθηκαν αναγκαία, όταν από τις βλάβες που προξενήθηκαν δημιουργείται κίνδυνος για την ασφάλεια προσώπων ή για πρόκληση σημαντικών ζημιών σε τρίτους ή περαιτέρω σημαντικής βλάβης των έργων, σύμφωνα με τα οριζόμενα στην παρ.8 του άρθρου 157 του ν.4412/2016.Απαραίτητη προϋπόθεση είναι η φυσική καταστροφή να έχει πιστοποιηθεί με σχετική απόφαση της διευθύνουσας υπηρεσίας.</w:t>
      </w:r>
    </w:p>
    <w:p w14:paraId="4C4AB71D">
      <w:pPr>
        <w:spacing w:after="120" w:line="240" w:lineRule="auto"/>
        <w:jc w:val="both"/>
        <w:rPr>
          <w:sz w:val="20"/>
          <w:szCs w:val="20"/>
        </w:rPr>
      </w:pPr>
    </w:p>
    <w:p w14:paraId="695FB5D7">
      <w:pPr>
        <w:spacing w:after="120" w:line="240" w:lineRule="auto"/>
        <w:jc w:val="both"/>
        <w:rPr>
          <w:rFonts w:ascii="Tahoma" w:hAnsi="Tahoma" w:cs="Tahoma"/>
          <w:b/>
          <w:bCs/>
          <w:sz w:val="20"/>
          <w:szCs w:val="20"/>
          <w:u w:val="single"/>
        </w:rPr>
      </w:pPr>
      <w:r>
        <w:rPr>
          <w:rFonts w:ascii="Tahoma" w:hAnsi="Tahoma" w:cs="Tahoma"/>
          <w:b/>
          <w:bCs/>
          <w:sz w:val="20"/>
          <w:szCs w:val="20"/>
          <w:u w:val="single"/>
        </w:rPr>
        <w:t xml:space="preserve">Β. ΠΡΑΞΕΙΣ ΔΗΜΟΣΙΟΥ ΧΑΡΑΚΤΗΡΑ </w:t>
      </w:r>
    </w:p>
    <w:p w14:paraId="2DC86A40">
      <w:pPr>
        <w:spacing w:after="120" w:line="240" w:lineRule="auto"/>
        <w:jc w:val="both"/>
        <w:rPr>
          <w:rFonts w:ascii="Tahoma" w:hAnsi="Tahoma" w:cs="Tahoma"/>
          <w:b/>
          <w:bCs/>
          <w:sz w:val="20"/>
          <w:szCs w:val="20"/>
          <w:u w:val="single"/>
        </w:rPr>
      </w:pPr>
    </w:p>
    <w:p w14:paraId="1CA84AE5">
      <w:pPr>
        <w:pStyle w:val="31"/>
        <w:numPr>
          <w:ilvl w:val="0"/>
          <w:numId w:val="2"/>
        </w:numPr>
        <w:spacing w:after="120" w:line="240" w:lineRule="auto"/>
        <w:ind w:left="714" w:hanging="357"/>
        <w:contextualSpacing w:val="0"/>
        <w:jc w:val="both"/>
        <w:rPr>
          <w:rFonts w:ascii="Tahoma" w:hAnsi="Tahoma" w:cs="Tahoma"/>
          <w:b/>
          <w:bCs/>
          <w:i/>
          <w:iCs/>
          <w:sz w:val="20"/>
          <w:szCs w:val="20"/>
        </w:rPr>
      </w:pPr>
      <w:r>
        <w:rPr>
          <w:rFonts w:ascii="Tahoma" w:hAnsi="Tahoma" w:cs="Tahoma"/>
          <w:b/>
          <w:bCs/>
          <w:i/>
          <w:iCs/>
          <w:sz w:val="20"/>
          <w:szCs w:val="20"/>
        </w:rPr>
        <w:t xml:space="preserve"> </w:t>
      </w:r>
      <w:r>
        <w:rPr>
          <w:rFonts w:ascii="Tahoma" w:hAnsi="Tahoma" w:cs="Tahoma"/>
          <w:b/>
          <w:bCs/>
          <w:i/>
          <w:iCs/>
          <w:sz w:val="20"/>
          <w:szCs w:val="20"/>
          <w:lang w:val="el-GR"/>
        </w:rPr>
        <w:t>Α</w:t>
      </w:r>
      <w:r>
        <w:rPr>
          <w:rFonts w:hint="default" w:ascii="Tahoma" w:hAnsi="Tahoma" w:cs="Tahoma"/>
          <w:b/>
          <w:bCs/>
          <w:i/>
          <w:iCs/>
          <w:sz w:val="20"/>
          <w:szCs w:val="20"/>
          <w:lang w:val="el-GR"/>
        </w:rPr>
        <w:t xml:space="preserve">) </w:t>
      </w:r>
      <w:r>
        <w:rPr>
          <w:rFonts w:ascii="Tahoma" w:hAnsi="Tahoma" w:cs="Tahoma"/>
          <w:b/>
          <w:bCs/>
          <w:i/>
          <w:iCs/>
          <w:sz w:val="20"/>
          <w:szCs w:val="20"/>
        </w:rPr>
        <w:t xml:space="preserve">Το Κέντρο Κοινωνικής Πρόνοιας της οικείας Περιφέρειας (Νομικό Πρόσωπο Δημοσίου Δικαίου) μπορεί να αποτελεί δικαιούχο του τοπικού προγράμματος ; </w:t>
      </w:r>
    </w:p>
    <w:p w14:paraId="3B09F8FD">
      <w:pPr>
        <w:pStyle w:val="31"/>
        <w:numPr>
          <w:ilvl w:val="0"/>
          <w:numId w:val="0"/>
        </w:numPr>
        <w:spacing w:after="120" w:line="240" w:lineRule="auto"/>
        <w:ind w:left="656" w:leftChars="162" w:hanging="300" w:hangingChars="150"/>
        <w:contextualSpacing w:val="0"/>
        <w:jc w:val="both"/>
        <w:rPr>
          <w:rFonts w:hint="default" w:ascii="Tahoma" w:hAnsi="Tahoma" w:cs="Tahoma"/>
          <w:b/>
          <w:bCs/>
          <w:i/>
          <w:iCs/>
          <w:sz w:val="20"/>
          <w:szCs w:val="20"/>
          <w:lang w:val="en-US"/>
        </w:rPr>
      </w:pPr>
      <w:r>
        <w:rPr>
          <w:rFonts w:hint="default" w:ascii="Tahoma" w:hAnsi="Tahoma" w:cs="Tahoma"/>
          <w:b/>
          <w:bCs/>
          <w:i/>
          <w:iCs/>
          <w:sz w:val="20"/>
          <w:szCs w:val="20"/>
          <w:lang w:val="el-GR"/>
        </w:rPr>
        <w:t xml:space="preserve">     Β) Φορείς κερδοσκοπικού χαρακτήρα που εκτελούν έργα κοινωφελούς σκοπού (π.χ. φορείς διαχείρισης ιδιωτικών δασών κλπ.), είναι επιλέξιμοι δικαιούχοι για την υλοποίηση πράξεων δημόσιου χαρακτήρα, στην παρέμβαση Π3-77-4.1</w:t>
      </w:r>
      <w:r>
        <w:rPr>
          <w:rFonts w:hint="default" w:ascii="Tahoma" w:hAnsi="Tahoma" w:cs="Tahoma"/>
          <w:b/>
          <w:bCs/>
          <w:i/>
          <w:iCs/>
          <w:sz w:val="20"/>
          <w:szCs w:val="20"/>
          <w:lang w:val="en-US"/>
        </w:rPr>
        <w:t>;</w:t>
      </w:r>
    </w:p>
    <w:p w14:paraId="6F318AC4">
      <w:pPr>
        <w:pStyle w:val="31"/>
        <w:spacing w:after="120" w:line="240" w:lineRule="auto"/>
        <w:contextualSpacing w:val="0"/>
        <w:jc w:val="both"/>
        <w:rPr>
          <w:rFonts w:ascii="Tahoma" w:hAnsi="Tahoma" w:cs="Tahoma"/>
          <w:sz w:val="20"/>
          <w:szCs w:val="20"/>
        </w:rPr>
      </w:pPr>
      <w:r>
        <w:rPr>
          <w:rFonts w:hint="default" w:ascii="Tahoma" w:hAnsi="Tahoma" w:cs="Tahoma"/>
          <w:sz w:val="20"/>
          <w:szCs w:val="20"/>
          <w:lang w:val="el-GR"/>
        </w:rPr>
        <w:t xml:space="preserve">Α) </w:t>
      </w:r>
      <w:r>
        <w:rPr>
          <w:rFonts w:ascii="Tahoma" w:hAnsi="Tahoma" w:cs="Tahoma"/>
          <w:sz w:val="20"/>
          <w:szCs w:val="20"/>
        </w:rPr>
        <w:t>Ναι, μπορούν να είναι δικαιούχοι αυτού του είδους φορείς, καθώς θεωρούνται τοπικοί φορείς, με την προϋπόθεση ότι συμπεριλαμβάνονται στο Τοπικό Πρόγραμμα ως επιλέξιμοι δικαιούχοι. Στους τοπικούς φορείς συγκαταλέγονται όσοι δικαιούχοι έχουν έδρα εντός της Περιφέρειας που υλοποιείται το Τοπικό Πρόγραμμα. Ως μη τοπικοί φορείς συγκαταλέγονται και αυτοί που υπάγονται σε κεντρικούς φορείς,  που έχουν έδρα εκτός της Περιφέρειας (π.χ. υπουργεία). Εξαίρεση αποτελούν οι φορείς που περιγράφονται στο άρθρο 8 της ΥΑ.</w:t>
      </w:r>
    </w:p>
    <w:p w14:paraId="5AA57F4E">
      <w:pPr>
        <w:pStyle w:val="31"/>
        <w:spacing w:after="120" w:line="240" w:lineRule="auto"/>
        <w:contextualSpacing w:val="0"/>
        <w:jc w:val="both"/>
        <w:rPr>
          <w:rFonts w:hint="default" w:ascii="Tahoma" w:hAnsi="Tahoma" w:cs="Tahoma"/>
          <w:sz w:val="20"/>
          <w:szCs w:val="20"/>
          <w:lang w:val="el-GR"/>
        </w:rPr>
      </w:pPr>
      <w:r>
        <w:rPr>
          <w:rFonts w:ascii="Tahoma" w:hAnsi="Tahoma" w:cs="Tahoma"/>
          <w:sz w:val="20"/>
          <w:szCs w:val="20"/>
          <w:lang w:val="el-GR"/>
        </w:rPr>
        <w:t>Β</w:t>
      </w:r>
      <w:r>
        <w:rPr>
          <w:rFonts w:hint="default" w:ascii="Tahoma" w:hAnsi="Tahoma" w:cs="Tahoma"/>
          <w:sz w:val="20"/>
          <w:szCs w:val="20"/>
          <w:lang w:val="el-GR"/>
        </w:rPr>
        <w:t xml:space="preserve">) Όχι, σύμφωνα με την ΥΑ οι φορείς  κερδοσκοπικού χαρακτήρα, δεν είναι επιλέξιμοι για την υλοποίηση πράξεων δημόσιου χαρακτήρα </w:t>
      </w:r>
    </w:p>
    <w:p w14:paraId="71F8558B">
      <w:pPr>
        <w:pStyle w:val="31"/>
        <w:spacing w:after="120" w:line="240" w:lineRule="auto"/>
        <w:contextualSpacing w:val="0"/>
        <w:jc w:val="both"/>
        <w:rPr>
          <w:rFonts w:hint="default" w:ascii="Tahoma" w:hAnsi="Tahoma" w:cs="Tahoma"/>
          <w:sz w:val="20"/>
          <w:szCs w:val="20"/>
          <w:lang w:val="el-GR"/>
        </w:rPr>
      </w:pPr>
    </w:p>
    <w:p w14:paraId="1A11C827">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Άρθρο 8, παρ. </w:t>
      </w:r>
      <w:r>
        <w:rPr>
          <w:rFonts w:ascii="Tahoma" w:hAnsi="Tahoma" w:cs="Tahoma"/>
          <w:b/>
          <w:bCs/>
          <w:i/>
          <w:iCs/>
          <w:sz w:val="20"/>
          <w:szCs w:val="20"/>
          <w:lang w:val="en-US"/>
        </w:rPr>
        <w:t>I</w:t>
      </w:r>
      <w:r>
        <w:rPr>
          <w:rFonts w:ascii="Tahoma" w:hAnsi="Tahoma" w:cs="Tahoma"/>
          <w:b/>
          <w:bCs/>
          <w:i/>
          <w:iCs/>
          <w:sz w:val="20"/>
          <w:szCs w:val="20"/>
        </w:rPr>
        <w:t xml:space="preserve">: Να διευκρινιστεί ο όρος Τοπικός Φορέας και Τοπικός Σύλλογος (π.χ. Σύλλογος Απόδημων με έδρα στην Αθήνα μπορεί να υποβάλλει πρόταση για επιλέξιμη περιοχή σε Τοπικό Πρόγραμμα; Σύλλογος εντός της Περιφέρειας με έδρα σε μη επιλέξιμη περιοχή σε Τοπικό Πρόγραμμα, ανεξάρτητα της ύπαρξης παραρτήματος στην περιοχή παρέμβασης;).  </w:t>
      </w:r>
    </w:p>
    <w:p w14:paraId="242F405C">
      <w:pPr>
        <w:spacing w:after="120" w:line="240" w:lineRule="auto"/>
        <w:ind w:left="720"/>
        <w:jc w:val="both"/>
        <w:rPr>
          <w:rFonts w:ascii="Tahoma" w:hAnsi="Tahoma" w:cs="Tahoma"/>
          <w:sz w:val="20"/>
          <w:szCs w:val="20"/>
        </w:rPr>
      </w:pPr>
      <w:r>
        <w:rPr>
          <w:rFonts w:ascii="Tahoma" w:hAnsi="Tahoma" w:cs="Tahoma"/>
          <w:sz w:val="20"/>
          <w:szCs w:val="20"/>
        </w:rPr>
        <w:t>Όχι, δεν είναι δυνατή η υποβολή πρότασης φορέα με έδρα σε μη επιλέξιμη περιοχή, εκτός αν αυτή είναι εντός της Περιφέρειας που υλοποιείται το Τοπικό Πρόγραμμα. (βλ. απάντηση Νο 1</w:t>
      </w:r>
      <w:r>
        <w:rPr>
          <w:rFonts w:hint="default" w:ascii="Tahoma" w:hAnsi="Tahoma" w:cs="Tahoma"/>
          <w:sz w:val="20"/>
          <w:szCs w:val="20"/>
          <w:lang w:val="el-GR"/>
        </w:rPr>
        <w:t>1</w:t>
      </w:r>
      <w:r>
        <w:rPr>
          <w:rFonts w:ascii="Tahoma" w:hAnsi="Tahoma" w:cs="Tahoma"/>
          <w:sz w:val="20"/>
          <w:szCs w:val="20"/>
        </w:rPr>
        <w:t>).</w:t>
      </w:r>
    </w:p>
    <w:p w14:paraId="6076A095">
      <w:pPr>
        <w:spacing w:after="120" w:line="240" w:lineRule="auto"/>
        <w:ind w:left="720"/>
        <w:jc w:val="both"/>
        <w:rPr>
          <w:rFonts w:hint="default" w:ascii="Tahoma" w:hAnsi="Tahoma" w:cs="Tahoma"/>
          <w:sz w:val="20"/>
          <w:szCs w:val="20"/>
          <w:lang w:val="el-GR"/>
        </w:rPr>
      </w:pPr>
    </w:p>
    <w:p w14:paraId="0327A6D9">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Νομικό πρόσωπο της Εκκλησίας (Νομικό Πρόσωπο Ιδιωτικού Δικαίου) μπορεί να αποτελεί δικαιούχο του τοπικού προγράμματος ;</w:t>
      </w:r>
    </w:p>
    <w:p w14:paraId="7A6F1E10">
      <w:pPr>
        <w:spacing w:after="120" w:line="240" w:lineRule="auto"/>
        <w:ind w:left="720"/>
        <w:jc w:val="both"/>
        <w:rPr>
          <w:rFonts w:ascii="Tahoma" w:hAnsi="Tahoma" w:cs="Tahoma"/>
          <w:sz w:val="20"/>
          <w:szCs w:val="20"/>
        </w:rPr>
      </w:pPr>
      <w:r>
        <w:rPr>
          <w:rFonts w:ascii="Tahoma" w:hAnsi="Tahoma" w:cs="Tahoma"/>
          <w:sz w:val="20"/>
          <w:szCs w:val="20"/>
        </w:rPr>
        <w:t>Ναι, εάν πληρούνται οι προϋποθέσεις της απάντησης Νο1</w:t>
      </w:r>
      <w:r>
        <w:rPr>
          <w:rFonts w:hint="default" w:ascii="Tahoma" w:hAnsi="Tahoma" w:cs="Tahoma"/>
          <w:sz w:val="20"/>
          <w:szCs w:val="20"/>
          <w:lang w:val="el-GR"/>
        </w:rPr>
        <w:t>1</w:t>
      </w:r>
      <w:r>
        <w:rPr>
          <w:rFonts w:ascii="Tahoma" w:hAnsi="Tahoma" w:cs="Tahoma"/>
          <w:sz w:val="20"/>
          <w:szCs w:val="20"/>
        </w:rPr>
        <w:t>, δηλαδή να πληρούν τον όρο του «τοπικού φορέα».</w:t>
      </w:r>
    </w:p>
    <w:p w14:paraId="716F489B">
      <w:pPr>
        <w:spacing w:after="120" w:line="240" w:lineRule="auto"/>
        <w:jc w:val="both"/>
        <w:rPr>
          <w:rFonts w:ascii="Tahoma" w:hAnsi="Tahoma" w:cs="Tahoma"/>
          <w:sz w:val="20"/>
          <w:szCs w:val="20"/>
        </w:rPr>
      </w:pPr>
    </w:p>
    <w:p w14:paraId="4BBEA847">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 Οι Δήμοι, μέσω του τμήματος Πολιτικής Προστασίας, μπορούν να είναι δικαιούχοι για τις υπο-παρεμβάσεις Π3-77-4.1-6.1 και Π3-77-4.1-6.2 ;</w:t>
      </w:r>
    </w:p>
    <w:p w14:paraId="0C19027E">
      <w:pPr>
        <w:spacing w:after="120" w:line="240" w:lineRule="auto"/>
        <w:ind w:left="720"/>
        <w:jc w:val="both"/>
        <w:rPr>
          <w:rFonts w:ascii="Tahoma" w:hAnsi="Tahoma" w:cs="Tahoma"/>
          <w:sz w:val="20"/>
          <w:szCs w:val="20"/>
        </w:rPr>
      </w:pPr>
      <w:r>
        <w:rPr>
          <w:rFonts w:ascii="Tahoma" w:hAnsi="Tahoma" w:cs="Tahoma"/>
          <w:sz w:val="20"/>
          <w:szCs w:val="20"/>
        </w:rPr>
        <w:t>Ναι, εάν έχουν αρμοδιότητα για την εκτέλεση σχετικών έργων.</w:t>
      </w:r>
    </w:p>
    <w:p w14:paraId="4802B232">
      <w:pPr>
        <w:spacing w:after="120" w:line="240" w:lineRule="auto"/>
        <w:ind w:left="720"/>
        <w:jc w:val="both"/>
        <w:rPr>
          <w:rFonts w:ascii="Tahoma" w:hAnsi="Tahoma" w:cs="Tahoma"/>
          <w:sz w:val="20"/>
          <w:szCs w:val="20"/>
        </w:rPr>
      </w:pPr>
    </w:p>
    <w:p w14:paraId="0143318C">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Υπάρχει ασυμφωνία δικαιούχων μεταξύ ΥΑ και Σχεδίου Πρόσκλησης για παρεμβάσεις Δημόσιου χαρακτήρα για τους δικαιούχους ;</w:t>
      </w:r>
    </w:p>
    <w:p w14:paraId="09D06DDA">
      <w:pPr>
        <w:spacing w:after="120" w:line="240" w:lineRule="auto"/>
        <w:ind w:left="720"/>
        <w:jc w:val="both"/>
        <w:rPr>
          <w:rFonts w:ascii="Tahoma" w:hAnsi="Tahoma" w:cs="Tahoma"/>
          <w:sz w:val="20"/>
          <w:szCs w:val="20"/>
        </w:rPr>
      </w:pPr>
      <w:r>
        <w:rPr>
          <w:rFonts w:ascii="Tahoma" w:hAnsi="Tahoma" w:cs="Tahoma"/>
          <w:sz w:val="20"/>
          <w:szCs w:val="20"/>
        </w:rPr>
        <w:t>Όχι, δεν υπάρχει ασυμφωνία της πρόσκλησης με το άρθρο 8 της ΥΑ, απλά στην πρόσκληση υπάρχει μεγαλύτερη εξειδίκευση.</w:t>
      </w:r>
    </w:p>
    <w:p w14:paraId="4DE8BC70">
      <w:pPr>
        <w:spacing w:after="120" w:line="240" w:lineRule="auto"/>
        <w:ind w:left="720"/>
        <w:jc w:val="both"/>
        <w:rPr>
          <w:rFonts w:ascii="Tahoma" w:hAnsi="Tahoma" w:cs="Tahoma"/>
          <w:sz w:val="20"/>
          <w:szCs w:val="20"/>
        </w:rPr>
      </w:pPr>
    </w:p>
    <w:p w14:paraId="1C12FB32">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Άρθρο 10, παρ. 5 : Τα Νομικά Πρόσωπα Ιδιωτικού Δικαίου (Σύλλογοι κλπ.), έχουν την δυνατότητα να υποβάλλουν προτάσεις για την υλοποίηση πράξεων δημοσίου χαρακτήρα με διαφορά συνολικού και επιλέξιμου προϋπολογισμού και σε περίπτωση ένταξης μη επιλέξιμη δαπάνη να καλυφθεί με τη χρήση τυχόν υπερδέσμευσης ;</w:t>
      </w:r>
    </w:p>
    <w:p w14:paraId="1F3B7895">
      <w:pPr>
        <w:spacing w:after="120" w:line="240" w:lineRule="auto"/>
        <w:ind w:left="720"/>
        <w:jc w:val="both"/>
        <w:rPr>
          <w:rFonts w:ascii="Tahoma" w:hAnsi="Tahoma" w:cs="Tahoma"/>
          <w:sz w:val="20"/>
          <w:szCs w:val="20"/>
        </w:rPr>
      </w:pPr>
      <w:r>
        <w:rPr>
          <w:rFonts w:ascii="Tahoma" w:hAnsi="Tahoma" w:cs="Tahoma"/>
          <w:sz w:val="20"/>
          <w:szCs w:val="20"/>
        </w:rPr>
        <w:t>Όχι, η συγκεκριμένη διάταξη αφορά σε έργα που εκτελούνται με διαδικασίες δημοσίων συμβάσεων.</w:t>
      </w:r>
    </w:p>
    <w:p w14:paraId="1DC05F7C">
      <w:pPr>
        <w:spacing w:after="120" w:line="240" w:lineRule="auto"/>
        <w:ind w:left="720"/>
        <w:jc w:val="both"/>
        <w:rPr>
          <w:rFonts w:ascii="Tahoma" w:hAnsi="Tahoma" w:cs="Tahoma"/>
          <w:sz w:val="20"/>
          <w:szCs w:val="20"/>
        </w:rPr>
      </w:pPr>
    </w:p>
    <w:p w14:paraId="478DABEE">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Στην πρόσκληση γίνεται αναφορά σε «φορείς που υλοποιούν πράξεις κοινωνικού χαρακτήρα». Παρακαλούμε να μας διευκρινίσετε : </w:t>
      </w:r>
    </w:p>
    <w:p w14:paraId="2109A9B5">
      <w:pPr>
        <w:pStyle w:val="31"/>
        <w:numPr>
          <w:ilvl w:val="0"/>
          <w:numId w:val="4"/>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Ποιοι φορείς εμπίπτουν στην εν λόγω κατηγορία.</w:t>
      </w:r>
    </w:p>
    <w:p w14:paraId="0AC057A1">
      <w:pPr>
        <w:pStyle w:val="31"/>
        <w:numPr>
          <w:ilvl w:val="0"/>
          <w:numId w:val="4"/>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Εάν υφίσταται κάποιο επίσημο μητρώο (π.χ. εθνικό ή τομεακό) στο οποίο θα πρέπει να είναι εγγεγραμμένοι.</w:t>
      </w:r>
    </w:p>
    <w:p w14:paraId="0FEE6AEC">
      <w:pPr>
        <w:pStyle w:val="31"/>
        <w:numPr>
          <w:ilvl w:val="0"/>
          <w:numId w:val="4"/>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Εάν ο χαρακτηρισμός προκύπτει αποκλειστικά από το καταστατικό και το φυσικό αντικείμενο της προτεινόμενης πράξης.</w:t>
      </w:r>
    </w:p>
    <w:p w14:paraId="48889263">
      <w:pPr>
        <w:spacing w:after="120" w:line="240" w:lineRule="auto"/>
        <w:ind w:left="709" w:hanging="349"/>
        <w:jc w:val="both"/>
        <w:rPr>
          <w:rFonts w:ascii="Tahoma" w:hAnsi="Tahoma" w:cs="Tahoma"/>
          <w:sz w:val="20"/>
          <w:szCs w:val="20"/>
        </w:rPr>
      </w:pPr>
      <w:r>
        <w:rPr>
          <w:rFonts w:ascii="Tahoma" w:hAnsi="Tahoma" w:cs="Tahoma"/>
          <w:sz w:val="20"/>
          <w:szCs w:val="20"/>
        </w:rPr>
        <w:t xml:space="preserve">      Ο χαρακτηρισμός προκύπτει αποκλειστικά από το καταστατικό και το φυσικό   αντικείμενο της προτεινόμενης πράξης. Με βάση την ΥΑ 39443/2025, άρθρο 7, κατηγορία 3 </w:t>
      </w:r>
      <w:r>
        <w:rPr>
          <w:rFonts w:ascii="Tahoma" w:hAnsi="Tahoma" w:cs="Tahoma"/>
          <w:sz w:val="20"/>
          <w:szCs w:val="20"/>
          <w:lang w:val="en-US"/>
        </w:rPr>
        <w:t>ii</w:t>
      </w:r>
      <w:r>
        <w:rPr>
          <w:rFonts w:ascii="Tahoma" w:hAnsi="Tahoma" w:cs="Tahoma"/>
          <w:sz w:val="20"/>
          <w:szCs w:val="20"/>
        </w:rPr>
        <w:t xml:space="preserve">) και </w:t>
      </w:r>
      <w:r>
        <w:rPr>
          <w:rFonts w:ascii="Tahoma" w:hAnsi="Tahoma" w:cs="Tahoma"/>
          <w:sz w:val="20"/>
          <w:szCs w:val="20"/>
          <w:lang w:val="en-US"/>
        </w:rPr>
        <w:t>iii</w:t>
      </w:r>
      <w:r>
        <w:rPr>
          <w:rFonts w:ascii="Tahoma" w:hAnsi="Tahoma" w:cs="Tahoma"/>
          <w:sz w:val="20"/>
          <w:szCs w:val="20"/>
        </w:rPr>
        <w:t>), δικαιούχοι μπορούν να είναι μόνο τοπικοί φορείς του δημοσίου ή του ευρύτερου δημόσιου τομέα ή τοπικοί σύλλογοι/οργανισμοί μη κερδοσκοπικού χαρακτήρα. Με τον όρο «πράξεις κοινωνικού χαρακτήρα» χαρακτηρίζονται αυτές που συμβάλλουν στην εξυπηρέτηση του τοπικού πληθυσμού και στην ενσωμάτωση προσφύγων και μεταναστών. Περισσότερες διευκρινήσεις αναφέρονται στην πρόσκληση μας στην υπο-παρέμβαση Π3-77-4.1-3.2 .</w:t>
      </w:r>
    </w:p>
    <w:p w14:paraId="5F1C112D">
      <w:pPr>
        <w:spacing w:after="120" w:line="240" w:lineRule="auto"/>
        <w:ind w:left="709" w:hanging="349"/>
        <w:jc w:val="both"/>
        <w:rPr>
          <w:rFonts w:ascii="Tahoma" w:hAnsi="Tahoma" w:cs="Tahoma"/>
          <w:sz w:val="20"/>
          <w:szCs w:val="20"/>
        </w:rPr>
      </w:pPr>
    </w:p>
    <w:p w14:paraId="3A64B1B6">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Παρακαλούμε να μας διευκρινίσετε εάν τα Πανεπιστημιακά Ιδρύματα (Α.Ε.Ι.) ή άλλοι μη τοπικοί φορείς (π.χ. ΕΛΓΟ Δήμητρα), ως νομικά πρόσωπα δημοσίου ή ιδιωτικού δικαίου, δύναται να θεωρηθούν δυνητικοί δικαιούχοι στο πλαίσιο των υπο-παρεμβάσεων Π3-77-4.1-6.1 και Π3-77-4.1-6.2 ως «λοιποί αρμόδιοι φορείς», εφόσον η προτεινόμενη πράξη υλοποιείται εντός της περιοχής παρέμβασης.</w:t>
      </w:r>
    </w:p>
    <w:p w14:paraId="4402737A">
      <w:pPr>
        <w:spacing w:after="120" w:line="240" w:lineRule="auto"/>
        <w:ind w:left="720"/>
        <w:jc w:val="both"/>
        <w:rPr>
          <w:rFonts w:ascii="Tahoma" w:hAnsi="Tahoma" w:cs="Tahoma"/>
          <w:sz w:val="20"/>
          <w:szCs w:val="20"/>
        </w:rPr>
      </w:pPr>
      <w:r>
        <w:rPr>
          <w:rFonts w:ascii="Tahoma" w:hAnsi="Tahoma" w:cs="Tahoma"/>
          <w:sz w:val="20"/>
          <w:szCs w:val="20"/>
        </w:rPr>
        <w:t>Ισχύουν όσα αναγράφονται στις ερωτήσεις 10 και 13 καθώς και αναλυτικά στο άρθρο 8 της ΥΑ 39443/2025.</w:t>
      </w:r>
    </w:p>
    <w:p w14:paraId="6FB18496">
      <w:pPr>
        <w:spacing w:after="120" w:line="240" w:lineRule="auto"/>
        <w:ind w:left="720"/>
        <w:jc w:val="both"/>
        <w:rPr>
          <w:rFonts w:ascii="Tahoma" w:hAnsi="Tahoma" w:cs="Tahoma"/>
          <w:sz w:val="20"/>
          <w:szCs w:val="20"/>
        </w:rPr>
      </w:pPr>
    </w:p>
    <w:p w14:paraId="2D14D96D">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Μπορεί να υποβληθεί πρόταση από ΟΤΑ για κτήριο ιδιοκτησίας του (π.χ. για μετατροπή του σε εκθετήριο) και φορέα λειτουργίας του έναν Πολιτιστικό Σύλλογο και αν ναι υπό ποιες προϋποθέσεις ;</w:t>
      </w:r>
    </w:p>
    <w:p w14:paraId="13E5F6BA">
      <w:pPr>
        <w:spacing w:after="120" w:line="240" w:lineRule="auto"/>
        <w:ind w:left="720"/>
        <w:jc w:val="both"/>
        <w:rPr>
          <w:rFonts w:ascii="Tahoma" w:hAnsi="Tahoma" w:cs="Tahoma"/>
          <w:sz w:val="20"/>
          <w:szCs w:val="20"/>
        </w:rPr>
      </w:pPr>
      <w:r>
        <w:rPr>
          <w:rFonts w:ascii="Tahoma" w:hAnsi="Tahoma" w:cs="Tahoma"/>
          <w:sz w:val="20"/>
          <w:szCs w:val="20"/>
        </w:rPr>
        <w:t>Ναι, μπορεί να υποβληθεί πρόταση με την προϋπόθεση ύπαρξης προγραμματικής σύμβασης ή άλλου σχετικού δικαιολογητικού, όπου ορίζει ποιος είναι ο φορέας λειτουργίας.</w:t>
      </w:r>
    </w:p>
    <w:p w14:paraId="788B2DF1">
      <w:pPr>
        <w:spacing w:after="120" w:line="240" w:lineRule="auto"/>
        <w:ind w:left="720"/>
        <w:jc w:val="both"/>
        <w:rPr>
          <w:rFonts w:ascii="Tahoma" w:hAnsi="Tahoma" w:cs="Tahoma"/>
          <w:sz w:val="20"/>
          <w:szCs w:val="20"/>
        </w:rPr>
      </w:pPr>
    </w:p>
    <w:p w14:paraId="78370606">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Μπορεί να υποβληθεί πρόταση από ΟΤΑ με ενιαία μελέτη που συμπεριλαμβάνει επεμβάσεις σε 3 διαφορετικούς χώρους ή σε διαφορετικές τοπικές κοινότητες για το ίδιο αντικείμενο (π.χ. ανάπλαση 3 πλατειών ή 3 γηπέδων 5*5) ; Η διακήρυξη θα αφορά όλο το έργο και έναν ανάδοχο. </w:t>
      </w:r>
    </w:p>
    <w:p w14:paraId="71EF06D1">
      <w:pPr>
        <w:spacing w:after="120" w:line="240" w:lineRule="auto"/>
        <w:ind w:left="720"/>
        <w:jc w:val="both"/>
        <w:rPr>
          <w:rFonts w:ascii="Tahoma" w:hAnsi="Tahoma" w:cs="Tahoma"/>
          <w:sz w:val="20"/>
          <w:szCs w:val="20"/>
        </w:rPr>
      </w:pPr>
      <w:r>
        <w:rPr>
          <w:rFonts w:ascii="Tahoma" w:hAnsi="Tahoma" w:cs="Tahoma"/>
          <w:sz w:val="20"/>
          <w:szCs w:val="20"/>
        </w:rPr>
        <w:t>Ναι, μάλιστα είναι εφικτό να γίνει με την προϋπόθεση ότι η συνολική πρόταση δεν θα ξεπερνάει το μέγιστο προϋπολογισμό της πράξης που ανέρχεται στο ποσό των 400.000€ ή των 20.000€ στις περιπτώσεις άυλων πράξεων. Είναι και προτιμότερο καθώς θα έχουμε μια ενιαία εργολαβία και συνεπώς αποφυγή επανάληψης των ίδιων χρονοβόρων διαδικασιών ανάθεσης για κάθε τοπική κοινότητα.</w:t>
      </w:r>
    </w:p>
    <w:p w14:paraId="3DA6891B">
      <w:pPr>
        <w:spacing w:after="120" w:line="240" w:lineRule="auto"/>
        <w:ind w:left="720"/>
        <w:jc w:val="both"/>
        <w:rPr>
          <w:rFonts w:ascii="Tahoma" w:hAnsi="Tahoma" w:cs="Tahoma"/>
          <w:sz w:val="20"/>
          <w:szCs w:val="20"/>
        </w:rPr>
      </w:pPr>
    </w:p>
    <w:p w14:paraId="79E57CD4">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Δημοτικό </w:t>
      </w:r>
      <w:r>
        <w:rPr>
          <w:rFonts w:ascii="Tahoma" w:hAnsi="Tahoma" w:cs="Tahoma"/>
          <w:b/>
          <w:bCs/>
          <w:i/>
          <w:iCs/>
          <w:sz w:val="20"/>
          <w:szCs w:val="20"/>
          <w:lang w:val="en-US"/>
        </w:rPr>
        <w:t>Parking</w:t>
      </w:r>
      <w:r>
        <w:rPr>
          <w:rFonts w:ascii="Tahoma" w:hAnsi="Tahoma" w:cs="Tahoma"/>
          <w:b/>
          <w:bCs/>
          <w:i/>
          <w:iCs/>
          <w:sz w:val="20"/>
          <w:szCs w:val="20"/>
        </w:rPr>
        <w:t xml:space="preserve"> χωρίς τέλη (χωρίς εισιτήριο εισόδου) είναι επιλέξιμο με επιδότηση 100% στην υπο-παρέμβαση 3.1 ; </w:t>
      </w:r>
    </w:p>
    <w:p w14:paraId="4426308A">
      <w:pPr>
        <w:pStyle w:val="31"/>
        <w:spacing w:after="120" w:line="240" w:lineRule="auto"/>
        <w:contextualSpacing w:val="0"/>
        <w:jc w:val="both"/>
        <w:rPr>
          <w:rFonts w:ascii="Tahoma" w:hAnsi="Tahoma" w:cs="Tahoma"/>
          <w:sz w:val="20"/>
          <w:szCs w:val="20"/>
        </w:rPr>
      </w:pPr>
      <w:r>
        <w:rPr>
          <w:rFonts w:ascii="Tahoma" w:hAnsi="Tahoma" w:cs="Tahoma"/>
          <w:sz w:val="20"/>
          <w:szCs w:val="20"/>
        </w:rPr>
        <w:t>Εφόσον αφορά σε εξυπηρέτηση των τουριστών – επισκεπτών της περιοχής , δεν μπορεί να είναι επιλέξιμο.</w:t>
      </w:r>
    </w:p>
    <w:p w14:paraId="0821052A">
      <w:pPr>
        <w:pStyle w:val="31"/>
        <w:spacing w:after="120" w:line="240" w:lineRule="auto"/>
        <w:contextualSpacing w:val="0"/>
        <w:jc w:val="both"/>
        <w:rPr>
          <w:rFonts w:ascii="Tahoma" w:hAnsi="Tahoma" w:cs="Tahoma"/>
          <w:b/>
          <w:bCs/>
          <w:i/>
          <w:iCs/>
          <w:sz w:val="20"/>
          <w:szCs w:val="20"/>
        </w:rPr>
      </w:pPr>
    </w:p>
    <w:p w14:paraId="75CFC65D">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Μπορεί για βελτίωση δικτύου ύδρευσης οι παρεμβάσεις να γίνουν μόνο εκτός οικισμού, αλλά να εξυπηρετούν το δίκτυο ύδρευσης εντός οικισμού ; (π.χ. την κατασκευή ή την βελτίωση μιας δεξαμενής εκτός οικισμού)</w:t>
      </w:r>
    </w:p>
    <w:p w14:paraId="3EF9E123">
      <w:pPr>
        <w:spacing w:after="120" w:line="240" w:lineRule="auto"/>
        <w:ind w:left="720"/>
        <w:jc w:val="both"/>
        <w:rPr>
          <w:rFonts w:ascii="Tahoma" w:hAnsi="Tahoma" w:cs="Tahoma"/>
          <w:sz w:val="20"/>
          <w:szCs w:val="20"/>
        </w:rPr>
      </w:pPr>
      <w:r>
        <w:rPr>
          <w:rFonts w:ascii="Tahoma" w:hAnsi="Tahoma" w:cs="Tahoma"/>
          <w:sz w:val="20"/>
          <w:szCs w:val="20"/>
        </w:rPr>
        <w:t>Όχι, θα πρέπει να υπάρχουν και κάποιες παρεμβάσεις έστω μικρής κλίμακας εντός του οικισμού. Επίσης θα πρέπει οι εργασίες που θα εκτελεστούν εκτός οικισμού να στοχεύουν αποκλειστικά στην εξυπηρέτηση των κατοίκων των οικισμών.</w:t>
      </w:r>
    </w:p>
    <w:p w14:paraId="3E5491CA">
      <w:pPr>
        <w:spacing w:after="120" w:line="240" w:lineRule="auto"/>
        <w:ind w:left="919" w:leftChars="327" w:hanging="200" w:hangingChars="100"/>
        <w:jc w:val="both"/>
        <w:rPr>
          <w:rFonts w:hint="default" w:ascii="Tahoma" w:hAnsi="Tahoma" w:cs="Tahoma"/>
          <w:sz w:val="20"/>
          <w:szCs w:val="20"/>
          <w:lang w:val="el-GR"/>
        </w:rPr>
      </w:pPr>
      <w:r>
        <w:rPr>
          <w:rFonts w:hint="default" w:ascii="Tahoma" w:hAnsi="Tahoma" w:cs="Tahoma"/>
          <w:sz w:val="20"/>
          <w:szCs w:val="20"/>
          <w:lang w:val="el-GR"/>
        </w:rPr>
        <w:t xml:space="preserve">* </w:t>
      </w:r>
      <w:r>
        <w:rPr>
          <w:rFonts w:ascii="Tahoma" w:hAnsi="Tahoma" w:cs="Tahoma"/>
          <w:sz w:val="20"/>
          <w:szCs w:val="20"/>
          <w:lang w:val="el-GR"/>
        </w:rPr>
        <w:t>Η</w:t>
      </w:r>
      <w:r>
        <w:rPr>
          <w:rFonts w:hint="default" w:ascii="Tahoma" w:hAnsi="Tahoma" w:cs="Tahoma"/>
          <w:sz w:val="20"/>
          <w:szCs w:val="20"/>
          <w:lang w:val="el-GR"/>
        </w:rPr>
        <w:t xml:space="preserve"> παραπάνω απάντηση δεν περιορίζεται μόνο σε έργα ύδρευσης, αλλά αφορά όλα τα έργα που εκτελούνται εκτός οικισμού.</w:t>
      </w:r>
    </w:p>
    <w:p w14:paraId="047B107D">
      <w:pPr>
        <w:spacing w:after="120" w:line="240" w:lineRule="auto"/>
        <w:ind w:left="720"/>
        <w:jc w:val="both"/>
        <w:rPr>
          <w:rFonts w:ascii="Tahoma" w:hAnsi="Tahoma" w:cs="Tahoma"/>
          <w:sz w:val="20"/>
          <w:szCs w:val="20"/>
        </w:rPr>
      </w:pPr>
    </w:p>
    <w:p w14:paraId="133EBF3A">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Στην υπο-παρέμβαση 4.1 «Έργα υποδομών μικρής κλίμακας» δεν επιδοτούνται τα έργα αγροτικής οδοποιίας ;</w:t>
      </w:r>
    </w:p>
    <w:p w14:paraId="693AE0CB">
      <w:pPr>
        <w:spacing w:after="120" w:line="240" w:lineRule="auto"/>
        <w:ind w:left="720"/>
        <w:jc w:val="both"/>
        <w:rPr>
          <w:rFonts w:ascii="Tahoma" w:hAnsi="Tahoma" w:cs="Tahoma"/>
          <w:sz w:val="20"/>
          <w:szCs w:val="20"/>
        </w:rPr>
      </w:pPr>
      <w:r>
        <w:rPr>
          <w:rFonts w:ascii="Tahoma" w:hAnsi="Tahoma" w:cs="Tahoma"/>
          <w:sz w:val="20"/>
          <w:szCs w:val="20"/>
        </w:rPr>
        <w:t xml:space="preserve">Όχι, στην συγκεκριμένη υπο-παρέμβαση επιλέξιμα είναι έργα οδοποιίας εντός οικισμού. Σημειώνουμε ότι στο πλαίσιο </w:t>
      </w:r>
      <w:r>
        <w:rPr>
          <w:rFonts w:ascii="Tahoma" w:hAnsi="Tahoma" w:cs="Tahoma"/>
          <w:sz w:val="20"/>
          <w:szCs w:val="20"/>
          <w:lang w:val="en-US"/>
        </w:rPr>
        <w:t>LEADER</w:t>
      </w:r>
      <w:r>
        <w:rPr>
          <w:rFonts w:ascii="Tahoma" w:hAnsi="Tahoma" w:cs="Tahoma"/>
          <w:sz w:val="20"/>
          <w:szCs w:val="20"/>
        </w:rPr>
        <w:t xml:space="preserve"> στο ΣΣ ΚΑΠ, δεν είναι επιλέξιμες οι πράξεις που συνδέονται με άμεσο ή έμμεσο τρόπο με τον πρωτογενή τομέα.</w:t>
      </w:r>
    </w:p>
    <w:p w14:paraId="6FDEB650">
      <w:pPr>
        <w:spacing w:after="120" w:line="240" w:lineRule="auto"/>
        <w:ind w:left="720"/>
        <w:jc w:val="both"/>
        <w:rPr>
          <w:rFonts w:ascii="Tahoma" w:hAnsi="Tahoma" w:cs="Tahoma"/>
          <w:sz w:val="20"/>
          <w:szCs w:val="20"/>
        </w:rPr>
      </w:pPr>
    </w:p>
    <w:p w14:paraId="12CECBF4">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Άρθρο 10, παρ.6 : </w:t>
      </w:r>
      <w:r>
        <w:rPr>
          <w:rFonts w:ascii="Tahoma" w:hAnsi="Tahoma" w:cs="Tahoma"/>
          <w:b/>
          <w:bCs/>
          <w:i/>
          <w:iCs/>
          <w:sz w:val="20"/>
          <w:szCs w:val="20"/>
          <w:lang w:val="el-GR"/>
        </w:rPr>
        <w:t>Α</w:t>
      </w:r>
      <w:r>
        <w:rPr>
          <w:rFonts w:hint="default" w:ascii="Tahoma" w:hAnsi="Tahoma" w:cs="Tahoma"/>
          <w:b/>
          <w:bCs/>
          <w:i/>
          <w:iCs/>
          <w:sz w:val="20"/>
          <w:szCs w:val="20"/>
          <w:lang w:val="el-GR"/>
        </w:rPr>
        <w:t xml:space="preserve">) </w:t>
      </w:r>
      <w:r>
        <w:rPr>
          <w:rFonts w:ascii="Tahoma" w:hAnsi="Tahoma" w:cs="Tahoma"/>
          <w:b/>
          <w:bCs/>
          <w:i/>
          <w:iCs/>
          <w:sz w:val="20"/>
          <w:szCs w:val="20"/>
        </w:rPr>
        <w:t>Αύξηση εγκεκριμένου προϋπολογισμού : Δημόσιο έργο εντάσσεται με το μέγιστο του επιτρεπόμενου προϋπολογισμού στην υπο-παρέμβαση, ήτοι 400.000€, έως την απόφαση ένταξης απαιτήθηκε τροποποίηση της μελέτης με αύξηση του προϋπολογισμού της μελέτης άνω των 400.000€, το ποσό της αύξησης αποτελεί επιλέξιμη αξία του συνολικού προϋπολογισμού ;</w:t>
      </w:r>
    </w:p>
    <w:p w14:paraId="1A0A43C7">
      <w:pPr>
        <w:pStyle w:val="31"/>
        <w:numPr>
          <w:ilvl w:val="0"/>
          <w:numId w:val="0"/>
        </w:numPr>
        <w:spacing w:after="120" w:line="240" w:lineRule="auto"/>
        <w:ind w:left="759" w:leftChars="163" w:hanging="400" w:hangingChars="200"/>
        <w:contextualSpacing w:val="0"/>
        <w:jc w:val="both"/>
        <w:rPr>
          <w:rFonts w:hint="default" w:ascii="Tahoma" w:hAnsi="Tahoma" w:cs="Tahoma"/>
          <w:b/>
          <w:bCs/>
          <w:i/>
          <w:iCs/>
          <w:sz w:val="20"/>
          <w:szCs w:val="20"/>
          <w:lang w:val="en-US"/>
        </w:rPr>
      </w:pPr>
      <w:r>
        <w:rPr>
          <w:rFonts w:hint="default" w:ascii="Tahoma" w:hAnsi="Tahoma" w:cs="Tahoma"/>
          <w:b/>
          <w:bCs/>
          <w:i/>
          <w:iCs/>
          <w:sz w:val="20"/>
          <w:szCs w:val="20"/>
          <w:lang w:val="el-GR"/>
        </w:rPr>
        <w:t xml:space="preserve">      Β) Αν σε έργο με Π/Υ  400.000</w:t>
      </w:r>
      <w:r>
        <w:rPr>
          <w:rFonts w:ascii="Tahoma" w:hAnsi="Tahoma" w:cs="Tahoma"/>
          <w:b/>
          <w:bCs/>
          <w:i/>
          <w:iCs/>
          <w:sz w:val="20"/>
          <w:szCs w:val="20"/>
        </w:rPr>
        <w:t>€</w:t>
      </w:r>
      <w:r>
        <w:rPr>
          <w:rFonts w:hint="default" w:ascii="Tahoma" w:hAnsi="Tahoma" w:cs="Tahoma"/>
          <w:b/>
          <w:bCs/>
          <w:i/>
          <w:iCs/>
          <w:sz w:val="20"/>
          <w:szCs w:val="20"/>
          <w:lang w:val="el-GR"/>
        </w:rPr>
        <w:t xml:space="preserve"> απαιτηθεί τροποποίηση της μελέτης με αύξηση του Π/Υ, για λόγους που εμπίπτουν στις περιπτώσεις της παρ. 4 του άρθρου 10 της ΥΑ, η εν λόγω αύξηση άνω των  400.000</w:t>
      </w:r>
      <w:r>
        <w:rPr>
          <w:rFonts w:ascii="Tahoma" w:hAnsi="Tahoma" w:cs="Tahoma"/>
          <w:b/>
          <w:bCs/>
          <w:i/>
          <w:iCs/>
          <w:sz w:val="20"/>
          <w:szCs w:val="20"/>
        </w:rPr>
        <w:t>€</w:t>
      </w:r>
      <w:r>
        <w:rPr>
          <w:rFonts w:hint="default" w:ascii="Tahoma" w:hAnsi="Tahoma" w:cs="Tahoma"/>
          <w:b/>
          <w:bCs/>
          <w:i/>
          <w:iCs/>
          <w:sz w:val="20"/>
          <w:szCs w:val="20"/>
          <w:lang w:val="el-GR"/>
        </w:rPr>
        <w:t>, αποτελεί επιλέξιμη αξία</w:t>
      </w:r>
      <w:r>
        <w:rPr>
          <w:rFonts w:hint="default" w:ascii="Tahoma" w:hAnsi="Tahoma" w:cs="Tahoma"/>
          <w:b/>
          <w:bCs/>
          <w:i/>
          <w:iCs/>
          <w:sz w:val="20"/>
          <w:szCs w:val="20"/>
          <w:lang w:val="en-US"/>
        </w:rPr>
        <w:t>;</w:t>
      </w:r>
    </w:p>
    <w:p w14:paraId="2272FAF4">
      <w:pPr>
        <w:numPr>
          <w:ilvl w:val="0"/>
          <w:numId w:val="5"/>
        </w:numPr>
        <w:spacing w:after="120" w:line="240" w:lineRule="auto"/>
        <w:ind w:left="720"/>
        <w:jc w:val="both"/>
        <w:rPr>
          <w:rFonts w:ascii="Tahoma" w:hAnsi="Tahoma" w:cs="Tahoma"/>
          <w:sz w:val="20"/>
          <w:szCs w:val="20"/>
        </w:rPr>
      </w:pPr>
      <w:r>
        <w:rPr>
          <w:rFonts w:ascii="Tahoma" w:hAnsi="Tahoma" w:cs="Tahoma"/>
          <w:sz w:val="20"/>
          <w:szCs w:val="20"/>
        </w:rPr>
        <w:t>Μόνο στην περίπτωση που η αύξηση του προϋπολογισμού της μελέτης, εμπίπτει στις περιπτώσεις της παρ.4 του άρθρου 10 της ΥΑ 39443/2025, ενώ το επιπλέον ποσό βαρύνει αποκλειστικά και μόνο τον δικαιούχο.</w:t>
      </w:r>
    </w:p>
    <w:p w14:paraId="4D1AF818">
      <w:pPr>
        <w:numPr>
          <w:ilvl w:val="0"/>
          <w:numId w:val="5"/>
        </w:numPr>
        <w:spacing w:after="120" w:line="240" w:lineRule="auto"/>
        <w:ind w:left="720"/>
        <w:jc w:val="both"/>
        <w:rPr>
          <w:rFonts w:ascii="Tahoma" w:hAnsi="Tahoma" w:cs="Tahoma"/>
          <w:sz w:val="20"/>
          <w:szCs w:val="20"/>
        </w:rPr>
      </w:pPr>
      <w:r>
        <w:rPr>
          <w:rFonts w:hint="default" w:ascii="Tahoma" w:hAnsi="Tahoma" w:cs="Tahoma"/>
          <w:sz w:val="20"/>
          <w:szCs w:val="20"/>
          <w:lang w:val="el-GR"/>
        </w:rPr>
        <w:t xml:space="preserve">Αν σε οποιαδήποτε φάση του έργου προκύψει αύξηση του Π/Υ άνω των </w:t>
      </w:r>
      <w:r>
        <w:rPr>
          <w:rFonts w:hint="default" w:ascii="Tahoma" w:hAnsi="Tahoma" w:cs="Tahoma"/>
          <w:b w:val="0"/>
          <w:bCs w:val="0"/>
          <w:i w:val="0"/>
          <w:iCs w:val="0"/>
          <w:sz w:val="20"/>
          <w:szCs w:val="20"/>
          <w:lang w:val="el-GR"/>
        </w:rPr>
        <w:t>400.000</w:t>
      </w:r>
      <w:r>
        <w:rPr>
          <w:rFonts w:ascii="Tahoma" w:hAnsi="Tahoma" w:cs="Tahoma"/>
          <w:b w:val="0"/>
          <w:bCs w:val="0"/>
          <w:i w:val="0"/>
          <w:iCs w:val="0"/>
          <w:sz w:val="20"/>
          <w:szCs w:val="20"/>
        </w:rPr>
        <w:t>€</w:t>
      </w:r>
      <w:r>
        <w:rPr>
          <w:rFonts w:hint="default" w:ascii="Tahoma" w:hAnsi="Tahoma" w:cs="Tahoma"/>
          <w:b w:val="0"/>
          <w:bCs w:val="0"/>
          <w:i w:val="0"/>
          <w:iCs w:val="0"/>
          <w:sz w:val="20"/>
          <w:szCs w:val="20"/>
          <w:lang w:val="el-GR"/>
        </w:rPr>
        <w:t>, τότε κανονιστικά, το επιπλέον ποσό βαρύνει αποκλειστικά και μόνο τον δικαιούχο. Αν η αύξηση αυτή λάβει μέρος κατά την διαδικασία αξιολόγησης των αιτήσεων στήριξης και πριν την ένταξη, τότε η πράξη είνια μη επιλέξιμη.</w:t>
      </w:r>
    </w:p>
    <w:p w14:paraId="35D6F58C">
      <w:pPr>
        <w:spacing w:after="120" w:line="240" w:lineRule="auto"/>
        <w:ind w:left="720"/>
        <w:jc w:val="both"/>
        <w:rPr>
          <w:rFonts w:ascii="Tahoma" w:hAnsi="Tahoma" w:cs="Tahoma"/>
          <w:sz w:val="20"/>
          <w:szCs w:val="20"/>
        </w:rPr>
      </w:pPr>
    </w:p>
    <w:p w14:paraId="301215AB">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Πότε θεωρείται ότι διαθέτει οριστική μελέτη ένα έργο, είναι απαραίτητο να υποβληθούν και οι σχετικές αδειοδοτήσεις ;</w:t>
      </w:r>
    </w:p>
    <w:p w14:paraId="40D60F59">
      <w:pPr>
        <w:spacing w:after="120" w:line="240" w:lineRule="auto"/>
        <w:ind w:left="720"/>
        <w:jc w:val="both"/>
        <w:rPr>
          <w:rFonts w:ascii="Tahoma" w:hAnsi="Tahoma" w:cs="Tahoma"/>
          <w:sz w:val="20"/>
          <w:szCs w:val="20"/>
        </w:rPr>
      </w:pPr>
      <w:r>
        <w:rPr>
          <w:rFonts w:ascii="Tahoma" w:hAnsi="Tahoma" w:cs="Tahoma"/>
          <w:sz w:val="20"/>
          <w:szCs w:val="20"/>
        </w:rPr>
        <w:t>Οριστική θεωρείται η μελέτη η οποία διαθέτει τη σχετική απόφαση έγκρισης από το αρμόδιο φορέα/υπηρεσία. Οι αδειοδοτήσεις δεν είναι απαραίτητες για την υποβολή της αίτησης στήριξης, εκτός αν αυτές απαιτούνται προκειμένου να καταστεί οριστική η μελέτη του έργου.</w:t>
      </w:r>
    </w:p>
    <w:p w14:paraId="3BFC0EF4">
      <w:pPr>
        <w:spacing w:after="120" w:line="240" w:lineRule="auto"/>
        <w:ind w:left="720"/>
        <w:jc w:val="both"/>
        <w:rPr>
          <w:rFonts w:ascii="Tahoma" w:hAnsi="Tahoma" w:cs="Tahoma"/>
          <w:sz w:val="20"/>
          <w:szCs w:val="20"/>
        </w:rPr>
      </w:pPr>
    </w:p>
    <w:p w14:paraId="6F179515">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Είναι επιλέξιμη η δαπάνη υποβολής φακέλου για φορείς του δημοσίου, στο πλαίσιο της υποβολής της αίτησης στήριξης ; </w:t>
      </w:r>
    </w:p>
    <w:p w14:paraId="76BF38F7">
      <w:pPr>
        <w:spacing w:after="120" w:line="240" w:lineRule="auto"/>
        <w:ind w:left="720"/>
        <w:jc w:val="both"/>
        <w:rPr>
          <w:rFonts w:ascii="Tahoma" w:hAnsi="Tahoma" w:cs="Tahoma"/>
          <w:sz w:val="20"/>
          <w:szCs w:val="20"/>
        </w:rPr>
      </w:pPr>
      <w:r>
        <w:rPr>
          <w:rFonts w:ascii="Tahoma" w:hAnsi="Tahoma" w:cs="Tahoma"/>
          <w:sz w:val="20"/>
          <w:szCs w:val="20"/>
        </w:rPr>
        <w:t>Σε περίπτωση που ο φορέας δεν διαθέτει το προσωπικό και την τεχνογνωσία για την σύνταξη και υποβολή του φακέλου, τότε είναι επιλέξιμη δαπάνη σύμφωνα με τα οριζόμενα στο άρθρο 44 του ν.4412/2016.</w:t>
      </w:r>
    </w:p>
    <w:p w14:paraId="73CFD2B8">
      <w:pPr>
        <w:spacing w:after="120" w:line="240" w:lineRule="auto"/>
        <w:ind w:left="720"/>
        <w:jc w:val="both"/>
        <w:rPr>
          <w:rFonts w:ascii="Tahoma" w:hAnsi="Tahoma" w:cs="Tahoma"/>
          <w:sz w:val="20"/>
          <w:szCs w:val="20"/>
        </w:rPr>
      </w:pPr>
    </w:p>
    <w:p w14:paraId="20F96321">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Πολιτιστικός σύλλογος ή δήμος επιθυμεί την προμήθεια παραδοσιακών φορεσιών. Παράλληλα Δήμος επιθυμεί να υποβάλλει άλλη πρόταση, για την δημιουργία εκθετηρίου σε κτήριο χαρακτηρισμένο με ΦΕΚ ως νεότερο μνημείο ή διατηρητέο και την σύνταξη μουσικολογικής/εκθετηριακής μελέτης.</w:t>
      </w:r>
    </w:p>
    <w:p w14:paraId="1A5CA529">
      <w:pPr>
        <w:spacing w:after="120" w:line="240" w:lineRule="auto"/>
        <w:ind w:left="720"/>
        <w:jc w:val="both"/>
        <w:rPr>
          <w:rFonts w:ascii="Tahoma" w:hAnsi="Tahoma" w:cs="Tahoma"/>
          <w:b/>
          <w:bCs/>
          <w:i/>
          <w:iCs/>
          <w:sz w:val="20"/>
          <w:szCs w:val="20"/>
        </w:rPr>
      </w:pPr>
      <w:r>
        <w:rPr>
          <w:rFonts w:ascii="Tahoma" w:hAnsi="Tahoma" w:cs="Tahoma"/>
          <w:b/>
          <w:bCs/>
          <w:i/>
          <w:iCs/>
          <w:sz w:val="20"/>
          <w:szCs w:val="20"/>
        </w:rPr>
        <w:t>Α. Σε ποια υπο-παρέμβαση δύναται να υποβάλει την συγκεκριμένη δαπάνη προκειμένου να είναι επιλέξιμη;</w:t>
      </w:r>
    </w:p>
    <w:p w14:paraId="114114DE">
      <w:pPr>
        <w:numPr>
          <w:ilvl w:val="0"/>
          <w:numId w:val="6"/>
        </w:numPr>
        <w:spacing w:after="120" w:line="240" w:lineRule="auto"/>
        <w:ind w:left="720"/>
        <w:jc w:val="both"/>
        <w:rPr>
          <w:rFonts w:ascii="Tahoma" w:hAnsi="Tahoma" w:cs="Tahoma"/>
          <w:b/>
          <w:bCs/>
          <w:i/>
          <w:iCs/>
          <w:sz w:val="20"/>
          <w:szCs w:val="20"/>
        </w:rPr>
      </w:pPr>
      <w:r>
        <w:rPr>
          <w:rFonts w:ascii="Tahoma" w:hAnsi="Tahoma" w:cs="Tahoma"/>
          <w:b/>
          <w:bCs/>
          <w:i/>
          <w:iCs/>
          <w:sz w:val="20"/>
          <w:szCs w:val="20"/>
        </w:rPr>
        <w:t>Είναι επιλέξιμη η δαπάνη μουσικολογικής/εκθετηριακής μελέτης;</w:t>
      </w:r>
    </w:p>
    <w:p w14:paraId="2FC53F09">
      <w:pPr>
        <w:bidi w:val="0"/>
        <w:ind w:left="594" w:leftChars="270" w:firstLine="100" w:firstLineChars="50"/>
        <w:rPr>
          <w:rFonts w:hint="default" w:ascii="Tahoma" w:hAnsi="Tahoma" w:cs="Tahoma" w:eastAsiaTheme="minorHAnsi"/>
          <w:b/>
          <w:bCs/>
          <w:i/>
          <w:iCs/>
          <w:kern w:val="2"/>
          <w:sz w:val="20"/>
          <w:szCs w:val="20"/>
          <w:lang w:val="en-US" w:eastAsia="en-US" w:bidi="ar-SA"/>
        </w:rPr>
      </w:pPr>
      <w:r>
        <w:rPr>
          <w:rFonts w:ascii="Tahoma" w:hAnsi="Tahoma" w:cs="Tahoma" w:eastAsiaTheme="minorHAnsi"/>
          <w:b/>
          <w:bCs/>
          <w:i/>
          <w:iCs/>
          <w:kern w:val="2"/>
          <w:sz w:val="20"/>
          <w:szCs w:val="20"/>
          <w:lang w:val="el-GR" w:eastAsia="en-US" w:bidi="ar-SA"/>
        </w:rPr>
        <w:t>Γ</w:t>
      </w:r>
      <w:r>
        <w:rPr>
          <w:rFonts w:hint="default" w:ascii="Tahoma" w:hAnsi="Tahoma" w:cs="Tahoma" w:eastAsiaTheme="minorHAnsi"/>
          <w:b/>
          <w:bCs/>
          <w:i/>
          <w:iCs/>
          <w:kern w:val="2"/>
          <w:sz w:val="20"/>
          <w:szCs w:val="20"/>
          <w:lang w:val="el-GR" w:eastAsia="en-US" w:bidi="ar-SA"/>
        </w:rPr>
        <w:t xml:space="preserve">. Στην υπο-παρέμβση </w:t>
      </w:r>
      <w:r>
        <w:rPr>
          <w:rFonts w:ascii="Tahoma" w:hAnsi="Tahoma" w:cs="Tahoma" w:eastAsiaTheme="minorHAnsi"/>
          <w:b/>
          <w:bCs/>
          <w:i/>
          <w:iCs/>
          <w:kern w:val="2"/>
          <w:sz w:val="20"/>
          <w:szCs w:val="20"/>
          <w:lang w:val="el-GR" w:eastAsia="en-US" w:bidi="ar-SA"/>
        </w:rPr>
        <w:t>Π3-77-4.1-5.2</w:t>
      </w:r>
      <w:r>
        <w:rPr>
          <w:rFonts w:hint="default" w:ascii="Tahoma" w:hAnsi="Tahoma" w:cs="Tahoma" w:eastAsiaTheme="minorHAnsi"/>
          <w:b/>
          <w:bCs/>
          <w:i/>
          <w:iCs/>
          <w:kern w:val="2"/>
          <w:sz w:val="20"/>
          <w:szCs w:val="20"/>
          <w:lang w:val="el-GR" w:eastAsia="en-US" w:bidi="ar-SA"/>
        </w:rPr>
        <w:t xml:space="preserve">, μπορεί να ενταχθεί πράξη προμήθειας </w:t>
      </w:r>
      <w:r>
        <w:rPr>
          <w:rFonts w:hint="default" w:ascii="Tahoma" w:hAnsi="Tahoma" w:cs="Tahoma"/>
          <w:b/>
          <w:bCs/>
          <w:i/>
          <w:iCs/>
          <w:kern w:val="2"/>
          <w:sz w:val="20"/>
          <w:szCs w:val="20"/>
          <w:lang w:val="el-GR" w:eastAsia="en-US" w:bidi="ar-SA"/>
        </w:rPr>
        <w:t xml:space="preserve"> </w:t>
      </w:r>
      <w:r>
        <w:rPr>
          <w:rFonts w:hint="default" w:ascii="Tahoma" w:hAnsi="Tahoma" w:cs="Tahoma" w:eastAsiaTheme="minorHAnsi"/>
          <w:b/>
          <w:bCs/>
          <w:i/>
          <w:iCs/>
          <w:kern w:val="2"/>
          <w:sz w:val="20"/>
          <w:szCs w:val="20"/>
          <w:lang w:val="el-GR" w:eastAsia="en-US" w:bidi="ar-SA"/>
        </w:rPr>
        <w:t>εξοπλισμού πολιτιστικών εκδηλώσεων</w:t>
      </w:r>
    </w:p>
    <w:p w14:paraId="1AC60EA4">
      <w:pPr>
        <w:numPr>
          <w:ilvl w:val="0"/>
          <w:numId w:val="0"/>
        </w:numPr>
        <w:spacing w:after="120" w:line="240" w:lineRule="auto"/>
        <w:jc w:val="both"/>
        <w:rPr>
          <w:rFonts w:hint="default" w:ascii="Tahoma" w:hAnsi="Tahoma" w:cs="Tahoma"/>
          <w:b/>
          <w:bCs/>
          <w:i/>
          <w:iCs/>
          <w:sz w:val="20"/>
          <w:szCs w:val="20"/>
          <w:lang w:val="el-GR"/>
        </w:rPr>
      </w:pPr>
    </w:p>
    <w:p w14:paraId="726C752F">
      <w:pPr>
        <w:spacing w:after="120" w:line="240" w:lineRule="auto"/>
        <w:ind w:left="993" w:hanging="284"/>
        <w:jc w:val="both"/>
        <w:rPr>
          <w:rFonts w:hint="default" w:ascii="Tahoma" w:hAnsi="Tahoma" w:cs="Tahoma"/>
          <w:sz w:val="20"/>
          <w:szCs w:val="20"/>
          <w:lang w:val="el-GR"/>
        </w:rPr>
      </w:pPr>
      <w:r>
        <w:rPr>
          <w:rFonts w:ascii="Tahoma" w:hAnsi="Tahoma" w:cs="Tahoma"/>
          <w:sz w:val="20"/>
          <w:szCs w:val="20"/>
        </w:rPr>
        <w:t>Α. Υποβάλλεται στην υπο-παρέμβαση Π3-77-4.1-5.2 , καθώς η δαπάνη αφορά σε πράξεις που συνδέονται με τον πολιτισμό.</w:t>
      </w:r>
    </w:p>
    <w:p w14:paraId="52CBCBE0">
      <w:pPr>
        <w:spacing w:after="120" w:line="240" w:lineRule="auto"/>
        <w:ind w:left="993" w:hanging="284"/>
        <w:jc w:val="both"/>
        <w:rPr>
          <w:rFonts w:ascii="Tahoma" w:hAnsi="Tahoma" w:cs="Tahoma"/>
          <w:sz w:val="20"/>
          <w:szCs w:val="20"/>
        </w:rPr>
      </w:pPr>
      <w:r>
        <w:rPr>
          <w:rFonts w:ascii="Tahoma" w:hAnsi="Tahoma" w:cs="Tahoma"/>
          <w:sz w:val="20"/>
          <w:szCs w:val="20"/>
        </w:rPr>
        <w:t>Β. Η μουσικολογική/εκθετηριακή μελέτη, είναι επιλέξιμη δαπάνη μιας πράξης εφόσον ο Δήμος δεν έχει την τεχνική επάρκεια για την σύνταξη της συγκεκριμένης μελέτης, σύμφωνα με τους περιορισμούς της παρ. 9 του άρθρου 14Γ της ΥΑ 39443/2025.</w:t>
      </w:r>
    </w:p>
    <w:p w14:paraId="214F84D5">
      <w:pPr>
        <w:spacing w:after="120" w:line="240" w:lineRule="auto"/>
        <w:ind w:left="993" w:hanging="284"/>
        <w:jc w:val="both"/>
        <w:rPr>
          <w:rFonts w:hint="default" w:ascii="Tahoma" w:hAnsi="Tahoma" w:cs="Tahoma"/>
          <w:sz w:val="20"/>
          <w:szCs w:val="20"/>
          <w:lang w:val="el-GR"/>
        </w:rPr>
      </w:pPr>
      <w:r>
        <w:rPr>
          <w:rFonts w:hint="default" w:ascii="Tahoma" w:hAnsi="Tahoma" w:cs="Tahoma"/>
          <w:sz w:val="20"/>
          <w:szCs w:val="20"/>
          <w:lang w:val="el-GR"/>
        </w:rPr>
        <w:t>Γ. Πράξεις που έχουν ως φυσικό αντικείμενο μόνο την αγορά εξοπλισμού μπορούν να είναι επιλέξιμες αρκεί να επιβεβαιώνεται ο ολοκληρωμένος χαρακτήρας της ενέργειας και να συμβάλει στους στόχους του ΤΠ. Η συγκεκριμένη απάντηση αφορά όλες τις υπο-παρεμβάσεις της Παρέμβασης Π3-77-4.1.</w:t>
      </w:r>
    </w:p>
    <w:p w14:paraId="4E0A1188">
      <w:pPr>
        <w:spacing w:after="120" w:line="240" w:lineRule="auto"/>
        <w:ind w:left="993" w:hanging="284"/>
        <w:jc w:val="both"/>
        <w:rPr>
          <w:rFonts w:hint="default" w:ascii="Tahoma" w:hAnsi="Tahoma" w:cs="Tahoma"/>
          <w:sz w:val="20"/>
          <w:szCs w:val="20"/>
          <w:lang w:val="el-GR"/>
        </w:rPr>
      </w:pPr>
    </w:p>
    <w:p w14:paraId="6F593ED1">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Οι μελέτες εκτός των απαιτούμενων τευχών δημοπράτησης, οι οποίες είναι απαραίτητες για την ορθή υλοποίηση του έργου (π.χ. δασοτεχνική, γεωτεχνική, μελέτη εξοικονόμησης ενέργειας ή ύδατος) , είναι επιλέξιμες σε όλες τις υπο-δράσεις εφόσον συνοδεύονται από υποδομές ή μόνο την Π3-77-4.1-5.2 ;</w:t>
      </w:r>
    </w:p>
    <w:p w14:paraId="1EAE0D11">
      <w:pPr>
        <w:pStyle w:val="31"/>
        <w:spacing w:after="120" w:line="240" w:lineRule="auto"/>
        <w:contextualSpacing w:val="0"/>
        <w:jc w:val="both"/>
        <w:rPr>
          <w:rFonts w:ascii="Tahoma" w:hAnsi="Tahoma" w:cs="Tahoma"/>
          <w:sz w:val="20"/>
          <w:szCs w:val="20"/>
        </w:rPr>
      </w:pPr>
      <w:r>
        <w:rPr>
          <w:rFonts w:ascii="Tahoma" w:hAnsi="Tahoma" w:cs="Tahoma"/>
          <w:sz w:val="20"/>
          <w:szCs w:val="20"/>
        </w:rPr>
        <w:t>Σύμφωνα με την υπ’ αριθμόν 121173/09.05.2025 εγκύκλιο (Εγκύκλιος Πρόσκλησης ΔΕ) «Οι κάθε είδους μελέτες δεν μπορούν να αποτελέσουν από μόνες τους πράξη, αλλά ως απαραίτητη ενέργεια για την υλοποίηση της αντίστοιχης πράξης και μόνο σε αυτή την περίπτωση μπορούν να θεωρηθούν επιλέξιμες δαπάνες». Συνεπώς οι μελέτες είναι επιλέξιμη δαπάνη για την εκτέλεση του έργου, σύμφωνα με τους περιορισμούς της παρ. 9 του άρθρου 14Γ της ΥΑ 39443/2025, με εξαίρεση την υπο-παρέμβαση Π3-77-4.1-5.2 και με την προϋπόθεση ότι οι μελέτες αυτές μπορούν να αποτελέσουν μια ολοκληρωμένη πράξη.</w:t>
      </w:r>
    </w:p>
    <w:p w14:paraId="16380E4F">
      <w:pPr>
        <w:pStyle w:val="31"/>
        <w:spacing w:after="120" w:line="240" w:lineRule="auto"/>
        <w:contextualSpacing w:val="0"/>
        <w:jc w:val="both"/>
        <w:rPr>
          <w:rFonts w:ascii="Tahoma" w:hAnsi="Tahoma" w:cs="Tahoma"/>
          <w:sz w:val="20"/>
          <w:szCs w:val="20"/>
        </w:rPr>
      </w:pPr>
      <w:r>
        <w:rPr>
          <w:rFonts w:ascii="Tahoma" w:hAnsi="Tahoma" w:cs="Tahoma"/>
          <w:sz w:val="20"/>
          <w:szCs w:val="20"/>
        </w:rPr>
        <w:t>Επιπλέον, για έργα που εκτελούνται με διαδικασίες δημοσίων συμβάσεων, οι μελέτες είναι επιλέξιμες, μόνο στην περίπτωση που ο φορέας δεν διαθέτει την τεχνική επάρκεια να ανταποκριθεί αποτελεσματικά στην εκπόνηση τους.</w:t>
      </w:r>
    </w:p>
    <w:p w14:paraId="7F89AAF6">
      <w:pPr>
        <w:pStyle w:val="31"/>
        <w:spacing w:after="120" w:line="240" w:lineRule="auto"/>
        <w:contextualSpacing w:val="0"/>
        <w:jc w:val="both"/>
        <w:rPr>
          <w:rFonts w:ascii="Tahoma" w:hAnsi="Tahoma" w:cs="Tahoma"/>
          <w:sz w:val="20"/>
          <w:szCs w:val="20"/>
        </w:rPr>
      </w:pPr>
    </w:p>
    <w:p w14:paraId="5F709D65">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Δύναται στο πλαίσιο της παρέμβασης Π3-77-4.1 του ΣΣ ΚΑΠ (για υπο-παρεμβάσεις Δημοσίου χαρακτήρα) και ειδικότερα στα πλαίσια της υπο-παρέμβασης Π3-77-4.1-4.2 «Ενίσχυση υπηρεσιών και υποδομών αναψυχής, ανάπλασης, τουριστικών πληροφοριών και λοιπών υποδομών μικρής κλίμακας», να υλοποιηθούν παρεμβάσεις όπως π.χ. εγκατάσταση σημείων τουριστικής πληροφόρησης (</w:t>
      </w:r>
      <w:r>
        <w:rPr>
          <w:rFonts w:ascii="Tahoma" w:hAnsi="Tahoma" w:cs="Tahoma"/>
          <w:b/>
          <w:bCs/>
          <w:i/>
          <w:iCs/>
          <w:sz w:val="20"/>
          <w:szCs w:val="20"/>
          <w:lang w:val="en-US"/>
        </w:rPr>
        <w:t>info</w:t>
      </w:r>
      <w:r>
        <w:rPr>
          <w:rFonts w:ascii="Tahoma" w:hAnsi="Tahoma" w:cs="Tahoma"/>
          <w:b/>
          <w:bCs/>
          <w:i/>
          <w:iCs/>
          <w:sz w:val="20"/>
          <w:szCs w:val="20"/>
        </w:rPr>
        <w:t xml:space="preserve"> </w:t>
      </w:r>
      <w:r>
        <w:rPr>
          <w:rFonts w:ascii="Tahoma" w:hAnsi="Tahoma" w:cs="Tahoma"/>
          <w:b/>
          <w:bCs/>
          <w:i/>
          <w:iCs/>
          <w:sz w:val="20"/>
          <w:szCs w:val="20"/>
          <w:lang w:val="en-US"/>
        </w:rPr>
        <w:t>points</w:t>
      </w:r>
      <w:r>
        <w:rPr>
          <w:rFonts w:ascii="Tahoma" w:hAnsi="Tahoma" w:cs="Tahoma"/>
          <w:b/>
          <w:bCs/>
          <w:i/>
          <w:iCs/>
          <w:sz w:val="20"/>
          <w:szCs w:val="20"/>
        </w:rPr>
        <w:t>) , σε κομβικά σημεία εκτός της περιοχής παρέμβασης.</w:t>
      </w:r>
    </w:p>
    <w:p w14:paraId="7E53199C">
      <w:pPr>
        <w:pStyle w:val="31"/>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Επιπλέον, στο πλαίσιο των υπο-παρεμβάσεων Π3-77-4.1-5.1 και Π3-77-4.1-5.2, δύναται να θεωρηθεί επιλέξιμη η πραγματοποίηση εκδηλώσεων σε κομβικά σημεία εκτός της περιοχής παρέμβασης, υπό την προϋπόθεση ότι αυτές συμβάλλουν άμεσα στην προβολή, εξωστρέφεια και επίτευξη των στόχων της τοπικής στρατηγικής της περιοχής παρέμβασης και φυσικά σε αυτούς της εκάστοτε αίτησης στήριξης ; </w:t>
      </w:r>
    </w:p>
    <w:p w14:paraId="0A482782">
      <w:pPr>
        <w:tabs>
          <w:tab w:val="left" w:pos="567"/>
          <w:tab w:val="left" w:pos="709"/>
        </w:tabs>
        <w:spacing w:after="120" w:line="240" w:lineRule="auto"/>
        <w:ind w:left="709"/>
        <w:jc w:val="both"/>
        <w:rPr>
          <w:rFonts w:ascii="Tahoma" w:hAnsi="Tahoma" w:cs="Tahoma"/>
          <w:sz w:val="20"/>
          <w:szCs w:val="20"/>
        </w:rPr>
      </w:pPr>
      <w:r>
        <w:rPr>
          <w:rFonts w:ascii="Tahoma" w:hAnsi="Tahoma" w:cs="Tahoma"/>
          <w:sz w:val="20"/>
          <w:szCs w:val="20"/>
        </w:rPr>
        <w:t>Σύμφωνα με την ΥΑ 2545/10.10.2022 (Β’ 5361), σε ειδικές περιπτώσεις και κατόπιν σχετικής τεκμηρίωσης επιτρέπεται η υλοποίηση άυλων πράξεων ή πράξεων που αφορούν μόνο σε αγορά εξοπλισμού και δεν αφορούν σε κτηριακές υποδομές σε περιοχές εκτός της περιοχής παρέμβασης, με την προϋπόθεση ότι τα έργα αυτά παρέχουν οφέλη κυρίως στον πληθυσμό της περιοχής παρέμβασης.</w:t>
      </w:r>
    </w:p>
    <w:p w14:paraId="4FD32631">
      <w:pPr>
        <w:tabs>
          <w:tab w:val="left" w:pos="567"/>
          <w:tab w:val="left" w:pos="709"/>
        </w:tabs>
        <w:spacing w:after="120" w:line="240" w:lineRule="auto"/>
        <w:ind w:left="709"/>
        <w:jc w:val="both"/>
        <w:rPr>
          <w:rFonts w:ascii="Tahoma" w:hAnsi="Tahoma" w:cs="Tahoma"/>
          <w:sz w:val="20"/>
          <w:szCs w:val="20"/>
        </w:rPr>
      </w:pPr>
    </w:p>
    <w:p w14:paraId="2453C7F7">
      <w:pPr>
        <w:pStyle w:val="31"/>
        <w:numPr>
          <w:ilvl w:val="0"/>
          <w:numId w:val="2"/>
        </w:numPr>
        <w:tabs>
          <w:tab w:val="left" w:pos="567"/>
          <w:tab w:val="left" w:pos="709"/>
        </w:tabs>
        <w:spacing w:after="120" w:line="240" w:lineRule="auto"/>
        <w:contextualSpacing w:val="0"/>
        <w:jc w:val="both"/>
        <w:rPr>
          <w:rFonts w:ascii="Tahoma" w:hAnsi="Tahoma" w:cs="Tahoma"/>
          <w:b/>
          <w:bCs/>
          <w:i/>
          <w:iCs/>
          <w:sz w:val="20"/>
          <w:szCs w:val="20"/>
        </w:rPr>
      </w:pPr>
      <w:r>
        <w:rPr>
          <w:rFonts w:ascii="Tahoma" w:hAnsi="Tahoma" w:cs="Tahoma"/>
          <w:b/>
          <w:bCs/>
          <w:i/>
          <w:iCs/>
          <w:color w:val="auto"/>
          <w:sz w:val="20"/>
          <w:szCs w:val="20"/>
        </w:rPr>
        <w:t>Στο πλαίσιο της υπο-παρέμβασης Π3-77-4.1-5.2 «Ενίσχυση μελετών, υπηρεσιών και υποδομών που συνδέονται με τον πολιτισμό και την αποκατάσταση και αναβάθμιση της πολιτιστικής κληρονομιάς», μπορεί η ΟΤΔ ή μέλος αυτής να είναι δικαιούχος πράξης που αφορά μόνο σε μελέτη ;</w:t>
      </w:r>
    </w:p>
    <w:p w14:paraId="19C898F0">
      <w:pPr>
        <w:pStyle w:val="31"/>
        <w:numPr>
          <w:ilvl w:val="0"/>
          <w:numId w:val="0"/>
        </w:numPr>
        <w:tabs>
          <w:tab w:val="left" w:pos="567"/>
          <w:tab w:val="left" w:pos="709"/>
        </w:tabs>
        <w:spacing w:after="120" w:line="240" w:lineRule="auto"/>
        <w:ind w:left="792" w:leftChars="360" w:firstLine="0" w:firstLineChars="0"/>
        <w:contextualSpacing w:val="0"/>
        <w:jc w:val="both"/>
        <w:rPr>
          <w:rFonts w:ascii="Tahoma" w:hAnsi="Tahoma" w:cs="Tahoma"/>
          <w:sz w:val="20"/>
          <w:szCs w:val="20"/>
        </w:rPr>
      </w:pPr>
      <w:r>
        <w:rPr>
          <w:rFonts w:ascii="Tahoma" w:hAnsi="Tahoma" w:cs="Tahoma"/>
          <w:sz w:val="20"/>
          <w:szCs w:val="20"/>
        </w:rPr>
        <w:t>Όχι, κάθε είδους μελέτες που εκπονεί η ΟΤΔ ή μέλος αυτής, αφορούν στην τοπική στρατηγική και ως εκ τούτου, είναι επιλέξιμες μόνο στο πλαίσιο της υπο-παρέμβασης  Π3-77-4.1-9.1</w:t>
      </w:r>
    </w:p>
    <w:p w14:paraId="2F6B33CD">
      <w:pPr>
        <w:pStyle w:val="31"/>
        <w:numPr>
          <w:ilvl w:val="0"/>
          <w:numId w:val="0"/>
        </w:numPr>
        <w:tabs>
          <w:tab w:val="left" w:pos="567"/>
          <w:tab w:val="left" w:pos="709"/>
        </w:tabs>
        <w:spacing w:after="120" w:line="240" w:lineRule="auto"/>
        <w:contextualSpacing w:val="0"/>
        <w:jc w:val="both"/>
        <w:rPr>
          <w:rFonts w:hint="default" w:ascii="Tahoma" w:hAnsi="Tahoma" w:cs="Tahoma"/>
          <w:sz w:val="20"/>
          <w:szCs w:val="20"/>
          <w:lang w:val="el-GR"/>
        </w:rPr>
      </w:pPr>
    </w:p>
    <w:p w14:paraId="06AA26C5">
      <w:pPr>
        <w:pStyle w:val="31"/>
        <w:numPr>
          <w:ilvl w:val="0"/>
          <w:numId w:val="2"/>
        </w:numPr>
        <w:tabs>
          <w:tab w:val="left" w:pos="567"/>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Στην υπο-παρέμβαση Π3-77-4.1-3.1 είναι δυνατή η ένταξη έργων που αφορούν μόνο σε εξοπλισμό (ρουχισμός, μπάλες, όργανα γυμναστικής/προπόνησης, λοιπός εξοπλισμός), χωρίς την υλοποίηση έργων υποδομής ; </w:t>
      </w:r>
    </w:p>
    <w:p w14:paraId="73023156">
      <w:pPr>
        <w:pStyle w:val="31"/>
        <w:tabs>
          <w:tab w:val="left" w:pos="567"/>
          <w:tab w:val="left" w:pos="709"/>
        </w:tabs>
        <w:spacing w:after="120" w:line="240" w:lineRule="auto"/>
        <w:contextualSpacing w:val="0"/>
        <w:jc w:val="both"/>
        <w:rPr>
          <w:rFonts w:ascii="Tahoma" w:hAnsi="Tahoma" w:cs="Tahoma"/>
          <w:sz w:val="20"/>
          <w:szCs w:val="20"/>
        </w:rPr>
      </w:pPr>
      <w:r>
        <w:rPr>
          <w:rFonts w:ascii="Tahoma" w:hAnsi="Tahoma" w:cs="Tahoma"/>
          <w:sz w:val="20"/>
          <w:szCs w:val="20"/>
        </w:rPr>
        <w:t>Ναι, μπορούν να ενταχθούν πράξεις που αφορούν μόνο σε εξοπλισμό, με την προϋπόθεση ότι αποτελούν μια ολοκληρωμένη παρέμβαση και όχι απλή αγορά μέρους του εξοπλισμού.</w:t>
      </w:r>
    </w:p>
    <w:p w14:paraId="362BA0DC">
      <w:pPr>
        <w:pStyle w:val="31"/>
        <w:tabs>
          <w:tab w:val="left" w:pos="567"/>
          <w:tab w:val="left" w:pos="709"/>
        </w:tabs>
        <w:spacing w:after="120" w:line="240" w:lineRule="auto"/>
        <w:contextualSpacing w:val="0"/>
        <w:jc w:val="both"/>
        <w:rPr>
          <w:rFonts w:ascii="Tahoma" w:hAnsi="Tahoma" w:cs="Tahoma"/>
          <w:sz w:val="20"/>
          <w:szCs w:val="20"/>
        </w:rPr>
      </w:pPr>
    </w:p>
    <w:p w14:paraId="42C6F210">
      <w:pPr>
        <w:pStyle w:val="31"/>
        <w:numPr>
          <w:ilvl w:val="0"/>
          <w:numId w:val="2"/>
        </w:numPr>
        <w:tabs>
          <w:tab w:val="left" w:pos="567"/>
          <w:tab w:val="left" w:pos="709"/>
        </w:tabs>
        <w:spacing w:after="120" w:line="240" w:lineRule="auto"/>
        <w:contextualSpacing w:val="0"/>
        <w:jc w:val="both"/>
        <w:rPr>
          <w:rFonts w:ascii="Tahoma" w:hAnsi="Tahoma" w:cs="Tahoma"/>
          <w:b/>
          <w:bCs/>
          <w:i/>
          <w:iCs/>
          <w:color w:val="auto"/>
          <w:sz w:val="20"/>
          <w:szCs w:val="20"/>
        </w:rPr>
      </w:pPr>
      <w:r>
        <w:rPr>
          <w:rFonts w:ascii="Tahoma" w:hAnsi="Tahoma" w:cs="Tahoma"/>
          <w:b/>
          <w:bCs/>
          <w:i/>
          <w:iCs/>
          <w:color w:val="auto"/>
          <w:sz w:val="20"/>
          <w:szCs w:val="20"/>
        </w:rPr>
        <w:t>Στο πλαίσιο της υπο-παρέμβασης Π3-77-4.1-3.1 είναι επιλέξιμη πρόταση επισκευής σχολικού κτηρίου (πρωτοβάθμια εκπαίδευση) και προμήθειας εξοπλισμού, με δικαιούχο τον εκάστοτε Δήμο ;</w:t>
      </w:r>
    </w:p>
    <w:p w14:paraId="654116FE">
      <w:pPr>
        <w:tabs>
          <w:tab w:val="left" w:pos="567"/>
          <w:tab w:val="left" w:pos="709"/>
        </w:tabs>
        <w:spacing w:after="120" w:line="240" w:lineRule="auto"/>
        <w:ind w:left="720"/>
        <w:jc w:val="both"/>
        <w:rPr>
          <w:rFonts w:ascii="Tahoma" w:hAnsi="Tahoma" w:cs="Tahoma"/>
          <w:sz w:val="20"/>
          <w:szCs w:val="20"/>
        </w:rPr>
      </w:pPr>
      <w:r>
        <w:rPr>
          <w:rFonts w:ascii="Tahoma" w:hAnsi="Tahoma" w:cs="Tahoma"/>
          <w:sz w:val="20"/>
          <w:szCs w:val="20"/>
        </w:rPr>
        <w:t>Οι παρεμβάσεις σε σχολικά κτήρια είναι επιλέξιμες υπό την προϋπόθεση ότι η πράξη δεν αφορά σε εργασίες απλής συντήρησης κτηριακών εγκαταστάσεων, σύμφωνα με τα οριζόμενα στην υπ’ αριθμόν 121173/09-05-2025 εγκύκλιο.</w:t>
      </w:r>
    </w:p>
    <w:p w14:paraId="07A89410">
      <w:pPr>
        <w:tabs>
          <w:tab w:val="left" w:pos="567"/>
          <w:tab w:val="left" w:pos="709"/>
        </w:tabs>
        <w:spacing w:after="120" w:line="240" w:lineRule="auto"/>
        <w:ind w:left="720"/>
        <w:jc w:val="both"/>
        <w:rPr>
          <w:rFonts w:ascii="Tahoma" w:hAnsi="Tahoma" w:cs="Tahoma"/>
          <w:sz w:val="20"/>
          <w:szCs w:val="20"/>
        </w:rPr>
      </w:pPr>
    </w:p>
    <w:p w14:paraId="0D1BFD8C">
      <w:pPr>
        <w:pStyle w:val="31"/>
        <w:numPr>
          <w:ilvl w:val="0"/>
          <w:numId w:val="2"/>
        </w:numPr>
        <w:tabs>
          <w:tab w:val="left" w:pos="567"/>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Η ανέγερση κτιρίου με χρήση προκατασκευασμένου φορέα, σε ποιο είδος σύμβασης, κατά τον ν.4412/2016, αντιστοιχεί (προμήθεια ή κατασκευή) ;</w:t>
      </w:r>
    </w:p>
    <w:p w14:paraId="05DA8D39">
      <w:pPr>
        <w:spacing w:after="120" w:line="240" w:lineRule="auto"/>
        <w:ind w:left="709"/>
        <w:jc w:val="both"/>
        <w:rPr>
          <w:rFonts w:ascii="Tahoma" w:hAnsi="Tahoma" w:cs="Tahoma"/>
          <w:sz w:val="20"/>
          <w:szCs w:val="20"/>
        </w:rPr>
      </w:pPr>
      <w:r>
        <w:rPr>
          <w:rFonts w:ascii="Tahoma" w:hAnsi="Tahoma" w:cs="Tahoma"/>
          <w:sz w:val="20"/>
          <w:szCs w:val="20"/>
        </w:rPr>
        <w:t>Σε μια μεικτή σύμβαση εκτός από την επιμέρους εκτιμώμενη αξία των εργασιών                   κατασκευής ή προμήθειας υλικών, σημαντικό ρόλο στον προσδιορισμό του είδους της σύμβασης που θα ακολουθηθεί, αποτελεί το ποσοστό και η κρισιμότητα των τεχνικών εργασιών που θα απαιτηθούν για την ολοκλήρωση του έργου. Σε κάθε περίπτωση συστήνεται η υποβολή ερωτήματος στο οικείο Τεχνικό Συμβούλιο.</w:t>
      </w:r>
    </w:p>
    <w:p w14:paraId="11BF137F">
      <w:pPr>
        <w:spacing w:after="120" w:line="240" w:lineRule="auto"/>
        <w:ind w:left="709"/>
        <w:jc w:val="both"/>
        <w:rPr>
          <w:rFonts w:ascii="Tahoma" w:hAnsi="Tahoma" w:cs="Tahoma"/>
          <w:sz w:val="20"/>
          <w:szCs w:val="20"/>
        </w:rPr>
      </w:pPr>
    </w:p>
    <w:p w14:paraId="2C688160">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Είναι δυνατή η χρήση από τον δικαιούχο των διαδικασιών ανάθεσης δημοσίων έργων με τα συστήματα «Μελέτη - Κατασκευή» (άρθρο 50 του ν.4412/2016) , και της Προκαταρκτικής διαβούλευσης της αγοράς (άρθρα 46, 47 του ν.4412/2016), καθώς αν επιλεχθούν αυτές οι διαδικασίες δεν θα διαθέτει το έργο οριστική μελέτη ;</w:t>
      </w:r>
    </w:p>
    <w:p w14:paraId="405114E8">
      <w:pPr>
        <w:pStyle w:val="31"/>
        <w:spacing w:after="120" w:line="240" w:lineRule="auto"/>
        <w:contextualSpacing w:val="0"/>
        <w:jc w:val="both"/>
        <w:rPr>
          <w:rFonts w:ascii="Tahoma" w:hAnsi="Tahoma" w:cs="Tahoma"/>
          <w:sz w:val="20"/>
          <w:szCs w:val="20"/>
        </w:rPr>
      </w:pPr>
      <w:r>
        <w:rPr>
          <w:rFonts w:ascii="Tahoma" w:hAnsi="Tahoma" w:cs="Tahoma"/>
          <w:sz w:val="20"/>
          <w:szCs w:val="20"/>
        </w:rPr>
        <w:t xml:space="preserve">Οι συγκεκριμένες διαδικασίες δεν συνηθίζονται για μικρά έργα που εκτελούνται στο πλαίσιο του </w:t>
      </w:r>
      <w:r>
        <w:rPr>
          <w:rFonts w:ascii="Tahoma" w:hAnsi="Tahoma" w:cs="Tahoma"/>
          <w:sz w:val="20"/>
          <w:szCs w:val="20"/>
          <w:lang w:val="en-US"/>
        </w:rPr>
        <w:t>LEADER</w:t>
      </w:r>
      <w:r>
        <w:rPr>
          <w:rFonts w:ascii="Tahoma" w:hAnsi="Tahoma" w:cs="Tahoma"/>
          <w:sz w:val="20"/>
          <w:szCs w:val="20"/>
        </w:rPr>
        <w:t>. Σε κάθε περίπτωση σύμφωνα με τα οριζόμενα στο θεσμικό πλαίσιο απαιτείται η ύπαρξη οριστικής μελέτης.</w:t>
      </w:r>
    </w:p>
    <w:p w14:paraId="019BE319">
      <w:pPr>
        <w:pStyle w:val="31"/>
        <w:spacing w:after="120" w:line="240" w:lineRule="auto"/>
        <w:contextualSpacing w:val="0"/>
        <w:jc w:val="both"/>
        <w:rPr>
          <w:rFonts w:ascii="Tahoma" w:hAnsi="Tahoma" w:cs="Tahoma"/>
          <w:sz w:val="20"/>
          <w:szCs w:val="20"/>
        </w:rPr>
      </w:pPr>
    </w:p>
    <w:p w14:paraId="5463EF40">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Σύμφωνα με το άρθρο 14Γ απαιτείται η διενέργεια αυτοψίας. Την εν λόγω αυτοψία την κάνει ο αξιολογητής ή στέλεχος της ομάδας έργου, όπως ήταν στο προηγούμενο </w:t>
      </w:r>
      <w:r>
        <w:rPr>
          <w:rFonts w:ascii="Tahoma" w:hAnsi="Tahoma" w:cs="Tahoma"/>
          <w:b/>
          <w:bCs/>
          <w:i/>
          <w:iCs/>
          <w:sz w:val="20"/>
          <w:szCs w:val="20"/>
          <w:lang w:val="en-US"/>
        </w:rPr>
        <w:t>LEADER</w:t>
      </w:r>
      <w:r>
        <w:rPr>
          <w:rFonts w:ascii="Tahoma" w:hAnsi="Tahoma" w:cs="Tahoma"/>
          <w:b/>
          <w:bCs/>
          <w:i/>
          <w:iCs/>
          <w:sz w:val="20"/>
          <w:szCs w:val="20"/>
        </w:rPr>
        <w:t xml:space="preserve">. </w:t>
      </w:r>
    </w:p>
    <w:p w14:paraId="18DE5ACC">
      <w:pPr>
        <w:spacing w:after="120" w:line="240" w:lineRule="auto"/>
        <w:ind w:left="720"/>
        <w:jc w:val="both"/>
        <w:rPr>
          <w:rFonts w:ascii="Tahoma" w:hAnsi="Tahoma" w:cs="Tahoma"/>
          <w:sz w:val="20"/>
          <w:szCs w:val="20"/>
        </w:rPr>
      </w:pPr>
      <w:r>
        <w:rPr>
          <w:rFonts w:ascii="Tahoma" w:hAnsi="Tahoma" w:cs="Tahoma"/>
          <w:sz w:val="20"/>
          <w:szCs w:val="20"/>
        </w:rPr>
        <w:t>Δεδομένου ότι η διενέργεια αυτοψίας αποτελεί αναπόσπαστο τμήμα του διοικητικού ελέγχου της αίτησης στήριξης αυτή διενεργείται από το αρμόδιο στέλεχος για την αξιολόγηση. Σε περίπτωση κωλύματος αυτού, η αυτοψία μπορεί να γίνει από άλλο στέλεχος για το οποίο δεν συντρέχουν λόγοι σύγκρουσης συμφερόντων και δεν θα μετάσχει στην επιτροπή ενστάσεων του εν λόγω έργου.</w:t>
      </w:r>
    </w:p>
    <w:p w14:paraId="254DFC4F">
      <w:pPr>
        <w:spacing w:after="120" w:line="240" w:lineRule="auto"/>
        <w:jc w:val="both"/>
        <w:rPr>
          <w:rFonts w:ascii="Tahoma" w:hAnsi="Tahoma" w:cs="Tahoma"/>
          <w:sz w:val="20"/>
          <w:szCs w:val="20"/>
        </w:rPr>
      </w:pPr>
    </w:p>
    <w:p w14:paraId="3BD51F04">
      <w:pPr>
        <w:spacing w:after="120" w:line="240" w:lineRule="auto"/>
        <w:jc w:val="both"/>
        <w:rPr>
          <w:rFonts w:ascii="Tahoma" w:hAnsi="Tahoma" w:cs="Tahoma"/>
          <w:b/>
          <w:bCs/>
          <w:sz w:val="20"/>
          <w:szCs w:val="20"/>
          <w:u w:val="single"/>
        </w:rPr>
      </w:pPr>
      <w:r>
        <w:rPr>
          <w:rFonts w:ascii="Tahoma" w:hAnsi="Tahoma" w:cs="Tahoma"/>
          <w:b/>
          <w:bCs/>
          <w:sz w:val="20"/>
          <w:szCs w:val="20"/>
          <w:u w:val="single"/>
        </w:rPr>
        <w:t>Γ. ΜΕΛΕΤΗ ΑΠΛΟΠΟΙΗΜΕΝΟΥ ΚΟΣΤΟΥΣ</w:t>
      </w:r>
    </w:p>
    <w:p w14:paraId="2D52DF6A">
      <w:pPr>
        <w:spacing w:after="120" w:line="240" w:lineRule="auto"/>
        <w:jc w:val="both"/>
        <w:rPr>
          <w:rFonts w:ascii="Tahoma" w:hAnsi="Tahoma" w:cs="Tahoma"/>
          <w:b/>
          <w:bCs/>
          <w:sz w:val="20"/>
          <w:szCs w:val="20"/>
          <w:u w:val="single"/>
        </w:rPr>
      </w:pPr>
    </w:p>
    <w:p w14:paraId="6289FE4D">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lang w:val="el-GR"/>
        </w:rPr>
        <w:t>Α</w:t>
      </w:r>
      <w:r>
        <w:rPr>
          <w:rFonts w:hint="default" w:ascii="Tahoma" w:hAnsi="Tahoma" w:cs="Tahoma"/>
          <w:b/>
          <w:bCs/>
          <w:i/>
          <w:iCs/>
          <w:sz w:val="20"/>
          <w:szCs w:val="20"/>
          <w:lang w:val="el-GR"/>
        </w:rPr>
        <w:t xml:space="preserve">) </w:t>
      </w:r>
      <w:r>
        <w:rPr>
          <w:rFonts w:ascii="Tahoma" w:hAnsi="Tahoma" w:cs="Tahoma"/>
          <w:b/>
          <w:bCs/>
          <w:i/>
          <w:iCs/>
          <w:sz w:val="20"/>
          <w:szCs w:val="20"/>
        </w:rPr>
        <w:t xml:space="preserve">Για ποιες δαπάνες είναι υποχρεωτική η εφαρμογή της μελέτης απλοποιημένου κόστους ; </w:t>
      </w:r>
    </w:p>
    <w:p w14:paraId="3DECA982">
      <w:pPr>
        <w:pStyle w:val="31"/>
        <w:numPr>
          <w:ilvl w:val="0"/>
          <w:numId w:val="0"/>
        </w:numPr>
        <w:spacing w:after="120" w:line="240" w:lineRule="auto"/>
        <w:ind w:left="759" w:leftChars="163" w:hanging="400" w:hangingChars="200"/>
        <w:contextualSpacing w:val="0"/>
        <w:jc w:val="both"/>
        <w:rPr>
          <w:rFonts w:hint="default" w:ascii="Tahoma" w:hAnsi="Tahoma" w:cs="Tahoma"/>
          <w:b/>
          <w:bCs/>
          <w:i/>
          <w:iCs/>
          <w:sz w:val="20"/>
          <w:szCs w:val="20"/>
          <w:lang w:val="en-US"/>
        </w:rPr>
      </w:pPr>
      <w:r>
        <w:rPr>
          <w:rFonts w:hint="default" w:ascii="Tahoma" w:hAnsi="Tahoma" w:cs="Tahoma"/>
          <w:b/>
          <w:bCs/>
          <w:i/>
          <w:iCs/>
          <w:sz w:val="20"/>
          <w:szCs w:val="20"/>
          <w:lang w:val="el-GR"/>
        </w:rPr>
        <w:t xml:space="preserve">      Β) Η εφαρμογή του απλοποιημένου κόστους είναι προαιρετική για τον μηχανολογικό εξοπλισμό που αναγράφεται στον οδηγό </w:t>
      </w:r>
      <w:r>
        <w:rPr>
          <w:rFonts w:hint="default" w:ascii="Tahoma" w:hAnsi="Tahoma" w:cs="Tahoma"/>
          <w:b/>
          <w:bCs/>
          <w:i/>
          <w:iCs/>
          <w:sz w:val="20"/>
          <w:szCs w:val="20"/>
          <w:lang w:val="en-US"/>
        </w:rPr>
        <w:t>;</w:t>
      </w:r>
    </w:p>
    <w:p w14:paraId="61F34545">
      <w:pPr>
        <w:pStyle w:val="31"/>
        <w:numPr>
          <w:ilvl w:val="0"/>
          <w:numId w:val="0"/>
        </w:numPr>
        <w:spacing w:after="120" w:line="240" w:lineRule="auto"/>
        <w:ind w:left="759" w:leftChars="163" w:hanging="400" w:hangingChars="200"/>
        <w:contextualSpacing w:val="0"/>
        <w:jc w:val="both"/>
        <w:rPr>
          <w:rFonts w:hint="default" w:ascii="Tahoma" w:hAnsi="Tahoma" w:cs="Tahoma"/>
          <w:b/>
          <w:bCs/>
          <w:i/>
          <w:iCs/>
          <w:sz w:val="20"/>
          <w:szCs w:val="20"/>
          <w:lang w:val="en-US"/>
        </w:rPr>
      </w:pPr>
      <w:r>
        <w:rPr>
          <w:rFonts w:hint="default" w:ascii="Tahoma" w:hAnsi="Tahoma" w:cs="Tahoma"/>
          <w:b/>
          <w:bCs/>
          <w:i/>
          <w:iCs/>
          <w:sz w:val="20"/>
          <w:szCs w:val="20"/>
          <w:lang w:val="en-US"/>
        </w:rPr>
        <w:t xml:space="preserve">      </w:t>
      </w:r>
      <w:r>
        <w:rPr>
          <w:rFonts w:hint="default" w:ascii="Tahoma" w:hAnsi="Tahoma" w:cs="Tahoma"/>
          <w:b/>
          <w:bCs/>
          <w:i/>
          <w:iCs/>
          <w:sz w:val="20"/>
          <w:szCs w:val="20"/>
          <w:lang w:val="el-GR"/>
        </w:rPr>
        <w:t>Γ) Στον υπολογισμό του πρότυπου κόστους περιβάλλοντος χώρου, αν έχουμε περίπτωση μόνο ισοπεδώσεων-διαμορφόσεων που τις κοστολογίσαμε 5</w:t>
      </w:r>
      <w:r>
        <w:rPr>
          <w:rFonts w:ascii="Tahoma" w:hAnsi="Tahoma" w:cs="Tahoma"/>
          <w:b/>
          <w:bCs/>
          <w:i/>
          <w:iCs/>
          <w:sz w:val="20"/>
          <w:szCs w:val="20"/>
        </w:rPr>
        <w:t>€</w:t>
      </w:r>
      <w:r>
        <w:rPr>
          <w:rFonts w:hint="default" w:ascii="Tahoma" w:hAnsi="Tahoma" w:cs="Tahoma"/>
          <w:b/>
          <w:bCs/>
          <w:i/>
          <w:iCs/>
          <w:sz w:val="20"/>
          <w:szCs w:val="20"/>
          <w:lang w:val="el-GR"/>
        </w:rPr>
        <w:t>/τ.μ. στο προηγούμενο πρόγραμμα ή περίπτωση περίφραξης οικοπέδου, γίνεται διαδικασία εύλογου κόστους με προσφορές ανά μονάδα μέτρησης</w:t>
      </w:r>
      <w:r>
        <w:rPr>
          <w:rFonts w:hint="default" w:ascii="Tahoma" w:hAnsi="Tahoma" w:cs="Tahoma"/>
          <w:b/>
          <w:bCs/>
          <w:i/>
          <w:iCs/>
          <w:sz w:val="20"/>
          <w:szCs w:val="20"/>
          <w:lang w:val="en-US"/>
        </w:rPr>
        <w:t xml:space="preserve">; </w:t>
      </w:r>
      <w:r>
        <w:rPr>
          <w:rFonts w:hint="default" w:ascii="Tahoma" w:hAnsi="Tahoma" w:cs="Tahoma"/>
          <w:b/>
          <w:bCs/>
          <w:i/>
          <w:iCs/>
          <w:sz w:val="20"/>
          <w:szCs w:val="20"/>
          <w:lang w:val="el-GR"/>
        </w:rPr>
        <w:t>Θα μπορούμε να λαμβάνουμε υπόψη, έστω ενδεικτικά, τον πίνακα τιμών μονάδας στο πλαίσιο της εξέτασης του εύλογου κόστους</w:t>
      </w:r>
      <w:r>
        <w:rPr>
          <w:rFonts w:hint="default" w:ascii="Tahoma" w:hAnsi="Tahoma" w:cs="Tahoma"/>
          <w:b/>
          <w:bCs/>
          <w:i/>
          <w:iCs/>
          <w:sz w:val="20"/>
          <w:szCs w:val="20"/>
          <w:lang w:val="en-US"/>
        </w:rPr>
        <w:t>;</w:t>
      </w:r>
    </w:p>
    <w:p w14:paraId="577DA9D9">
      <w:pPr>
        <w:pStyle w:val="31"/>
        <w:spacing w:after="120" w:line="240" w:lineRule="auto"/>
        <w:contextualSpacing w:val="0"/>
        <w:jc w:val="both"/>
        <w:rPr>
          <w:rFonts w:ascii="Tahoma" w:hAnsi="Tahoma" w:cs="Tahoma"/>
          <w:sz w:val="20"/>
          <w:szCs w:val="20"/>
        </w:rPr>
      </w:pPr>
      <w:r>
        <w:rPr>
          <w:rFonts w:hint="default" w:ascii="Tahoma" w:hAnsi="Tahoma" w:cs="Tahoma"/>
          <w:sz w:val="20"/>
          <w:szCs w:val="20"/>
          <w:lang w:val="el-GR"/>
        </w:rPr>
        <w:t xml:space="preserve">Α) </w:t>
      </w:r>
      <w:r>
        <w:rPr>
          <w:rFonts w:ascii="Tahoma" w:hAnsi="Tahoma" w:cs="Tahoma"/>
          <w:sz w:val="20"/>
          <w:szCs w:val="20"/>
        </w:rPr>
        <w:t>Η μελέτη απλοποιημένου κόστους είναι υποχρεωτική για δαπάνες κτιριακών υποδομών για τις κατηγορίες κτηρίων που περιγράφονται στον οδηγό μελέτης και του περιβάλλοντος χώρου αυτών, ενώ για τις υπόλοιπες δαπάνες που περιλαμβάνονται σε αυτή, όπως μηχανολογικό, λοιπό εξοπλισμό και μελέτες, η εφαρμογή του είναι προαιρετική. Σε κάθε περίπτωση ισχύουν τα αναγραφόμενα του άρθρου 14Γ, παρ. 6 έως 9, της ΥΑ 39443/2025.</w:t>
      </w:r>
    </w:p>
    <w:p w14:paraId="1B789254">
      <w:pPr>
        <w:pStyle w:val="31"/>
        <w:spacing w:after="120" w:line="240" w:lineRule="auto"/>
        <w:contextualSpacing w:val="0"/>
        <w:jc w:val="both"/>
        <w:rPr>
          <w:rFonts w:hint="default" w:ascii="Tahoma" w:hAnsi="Tahoma" w:cs="Tahoma"/>
          <w:sz w:val="20"/>
          <w:szCs w:val="20"/>
          <w:lang w:val="el-GR"/>
        </w:rPr>
      </w:pPr>
      <w:r>
        <w:rPr>
          <w:rFonts w:ascii="Tahoma" w:hAnsi="Tahoma" w:cs="Tahoma"/>
          <w:sz w:val="20"/>
          <w:szCs w:val="20"/>
          <w:lang w:val="el-GR"/>
        </w:rPr>
        <w:t>Β</w:t>
      </w:r>
      <w:r>
        <w:rPr>
          <w:rFonts w:hint="default" w:ascii="Tahoma" w:hAnsi="Tahoma" w:cs="Tahoma"/>
          <w:sz w:val="20"/>
          <w:szCs w:val="20"/>
          <w:lang w:val="el-GR"/>
        </w:rPr>
        <w:t>) Οι συγκεκριμένες δαπάνες αφορούν ουσιαστικά σε Λοιπές εργασίες/Μηχανολογικός εξοπλισμός και είναι υποχρεωτική για αυτές η εφαρμογή του απλοποιημένου κόστους. Προαιρετική είναι η εφαρμογή του οδηγού για τον λοιπό εξοπλισμό που αφορά σε καταλύματα.</w:t>
      </w:r>
    </w:p>
    <w:p w14:paraId="23F01DD7">
      <w:pPr>
        <w:pStyle w:val="31"/>
        <w:spacing w:after="120" w:line="240" w:lineRule="auto"/>
        <w:contextualSpacing w:val="0"/>
        <w:jc w:val="both"/>
        <w:rPr>
          <w:rFonts w:hint="default" w:ascii="Tahoma" w:hAnsi="Tahoma" w:cs="Tahoma"/>
          <w:sz w:val="20"/>
          <w:szCs w:val="20"/>
          <w:lang w:val="el-GR"/>
        </w:rPr>
      </w:pPr>
      <w:r>
        <w:rPr>
          <w:rFonts w:hint="default" w:ascii="Tahoma" w:hAnsi="Tahoma" w:cs="Tahoma"/>
          <w:sz w:val="20"/>
          <w:szCs w:val="20"/>
          <w:lang w:val="el-GR"/>
        </w:rPr>
        <w:t>Γ) Οι τιμές του Οδηγού δεν αφορούν σε απλές ισοπεδώσεις-διαμορφώσεις και η απλή περίφραξη με πασσάλους και πλέγμα, οπότε σε αυτή την περίπτωση θα πρέπει να προσκομιστούν προσφορές και να γίνει ο έλεγχος εύλογου κόστους.</w:t>
      </w:r>
    </w:p>
    <w:p w14:paraId="0AE9C985">
      <w:pPr>
        <w:pStyle w:val="31"/>
        <w:spacing w:after="120" w:line="240" w:lineRule="auto"/>
        <w:contextualSpacing w:val="0"/>
        <w:jc w:val="both"/>
        <w:rPr>
          <w:rFonts w:ascii="Tahoma" w:hAnsi="Tahoma" w:cs="Tahoma"/>
          <w:sz w:val="20"/>
          <w:szCs w:val="20"/>
        </w:rPr>
      </w:pPr>
    </w:p>
    <w:p w14:paraId="45E4A512">
      <w:pPr>
        <w:pStyle w:val="31"/>
        <w:numPr>
          <w:ilvl w:val="0"/>
          <w:numId w:val="2"/>
        </w:numPr>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Ο υπολογισμός του κόστους ανά τετραγωνικό μέτρο για εξώστες και κλιμακοστάσια σε ποια χρήση χώρου αντιστοιχεί ;</w:t>
      </w:r>
    </w:p>
    <w:p w14:paraId="6F9D6E64">
      <w:pPr>
        <w:tabs>
          <w:tab w:val="left" w:pos="709"/>
        </w:tabs>
        <w:spacing w:after="120" w:line="240" w:lineRule="auto"/>
        <w:jc w:val="both"/>
        <w:rPr>
          <w:rFonts w:ascii="Tahoma" w:hAnsi="Tahoma" w:cs="Tahoma"/>
          <w:sz w:val="20"/>
          <w:szCs w:val="20"/>
        </w:rPr>
      </w:pPr>
      <w:r>
        <w:rPr>
          <w:rFonts w:ascii="Tahoma" w:hAnsi="Tahoma" w:cs="Tahoma"/>
          <w:sz w:val="20"/>
          <w:szCs w:val="20"/>
        </w:rPr>
        <w:t xml:space="preserve">           Αντιστοιχεί στην χρήση ημιυπαίθριοι χώροι και κύριοι χώροι αντίστοιχα.</w:t>
      </w:r>
    </w:p>
    <w:p w14:paraId="5BECAB01">
      <w:pPr>
        <w:tabs>
          <w:tab w:val="left" w:pos="709"/>
        </w:tabs>
        <w:spacing w:after="120" w:line="240" w:lineRule="auto"/>
        <w:jc w:val="both"/>
        <w:rPr>
          <w:rFonts w:ascii="Tahoma" w:hAnsi="Tahoma" w:cs="Tahoma"/>
          <w:sz w:val="20"/>
          <w:szCs w:val="20"/>
        </w:rPr>
      </w:pPr>
    </w:p>
    <w:p w14:paraId="05A0DDC7">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Στην στήλη για το μεταλλικό σκελετό και στην εργασία «Σκελετός οπλισμένου σκυροδέματος» υπάρχει κενό, προφανώς επειδή ο σκελετός είναι μεταλλικός, όμως η θεμελίωση του αποτελείται από οπλισμένο σκυρόδεμα. Στο συγκεκριμένο ποσοστό περιλαμβάνεται και η θεμελίωση του κτίσματος ;</w:t>
      </w:r>
    </w:p>
    <w:p w14:paraId="5D8E8DAE">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Ναι, περιλαμβάνεται και η θεμελίωση του κτίσματος.</w:t>
      </w:r>
    </w:p>
    <w:p w14:paraId="40DE43DF">
      <w:pPr>
        <w:pStyle w:val="31"/>
        <w:tabs>
          <w:tab w:val="left" w:pos="709"/>
        </w:tabs>
        <w:spacing w:after="120" w:line="240" w:lineRule="auto"/>
        <w:contextualSpacing w:val="0"/>
        <w:jc w:val="both"/>
        <w:rPr>
          <w:rFonts w:ascii="Tahoma" w:hAnsi="Tahoma" w:cs="Tahoma"/>
          <w:sz w:val="20"/>
          <w:szCs w:val="20"/>
        </w:rPr>
      </w:pPr>
    </w:p>
    <w:p w14:paraId="29DE9EED">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Το κόστος της πισίνας συμπεριλαμβάνει μόνο τον μηχανολογικό εξοπλισμό ή και τις κτιριακές εργασίες για την κατασκευή ;</w:t>
      </w:r>
    </w:p>
    <w:p w14:paraId="5C83A690">
      <w:pPr>
        <w:tabs>
          <w:tab w:val="left" w:pos="709"/>
        </w:tabs>
        <w:spacing w:after="120" w:line="240" w:lineRule="auto"/>
        <w:ind w:left="720"/>
        <w:jc w:val="both"/>
        <w:rPr>
          <w:rFonts w:ascii="Tahoma" w:hAnsi="Tahoma" w:cs="Tahoma"/>
          <w:sz w:val="20"/>
          <w:szCs w:val="20"/>
        </w:rPr>
      </w:pPr>
      <w:r>
        <w:rPr>
          <w:rFonts w:ascii="Tahoma" w:hAnsi="Tahoma" w:cs="Tahoma"/>
          <w:sz w:val="20"/>
          <w:szCs w:val="20"/>
        </w:rPr>
        <w:t xml:space="preserve">Η μελέτη περιγράφει το κόστος των κτιριακών εργασιών, συνεπώς συμπεριλαμβάνονται μόνο οι εργασίες και τα υλικά κατασκευής. </w:t>
      </w:r>
    </w:p>
    <w:p w14:paraId="58ED3EEA">
      <w:pPr>
        <w:tabs>
          <w:tab w:val="left" w:pos="709"/>
        </w:tabs>
        <w:spacing w:after="120" w:line="240" w:lineRule="auto"/>
        <w:ind w:left="720"/>
        <w:jc w:val="both"/>
        <w:rPr>
          <w:rFonts w:ascii="Tahoma" w:hAnsi="Tahoma" w:cs="Tahoma"/>
          <w:sz w:val="20"/>
          <w:szCs w:val="20"/>
        </w:rPr>
      </w:pPr>
    </w:p>
    <w:p w14:paraId="4199D28E">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Για ανέγερση νέου κτιρίου, υπάρχει απαίτηση για ανάλυση των επιμέρους εργασιών σύμφωνα με το ποσοστό του πίνακα </w:t>
      </w:r>
      <w:r>
        <w:rPr>
          <w:rFonts w:ascii="Tahoma" w:hAnsi="Tahoma" w:cs="Tahoma"/>
          <w:b/>
          <w:bCs/>
          <w:i/>
          <w:iCs/>
          <w:sz w:val="20"/>
          <w:szCs w:val="20"/>
          <w:lang w:val="en-US"/>
        </w:rPr>
        <w:t>I</w:t>
      </w:r>
      <w:r>
        <w:rPr>
          <w:rFonts w:ascii="Tahoma" w:hAnsi="Tahoma" w:cs="Tahoma"/>
          <w:b/>
          <w:bCs/>
          <w:i/>
          <w:iCs/>
          <w:sz w:val="20"/>
          <w:szCs w:val="20"/>
        </w:rPr>
        <w:t>.Α1 της μελέτης απλοποιημένου κόστους ή η ανάλυση των εργασιών θα είναι ελεύθερη σύμφωνα με την μελέτη ή τις ανάγκες του έργου ;</w:t>
      </w:r>
    </w:p>
    <w:p w14:paraId="452F6F2C">
      <w:pPr>
        <w:tabs>
          <w:tab w:val="left" w:pos="709"/>
        </w:tabs>
        <w:spacing w:after="120" w:line="240" w:lineRule="auto"/>
        <w:ind w:left="709" w:hanging="425"/>
        <w:jc w:val="both"/>
        <w:rPr>
          <w:rFonts w:ascii="Tahoma" w:hAnsi="Tahoma" w:cs="Tahoma"/>
          <w:sz w:val="20"/>
          <w:szCs w:val="20"/>
        </w:rPr>
      </w:pPr>
      <w:r>
        <w:rPr>
          <w:rFonts w:ascii="Tahoma" w:hAnsi="Tahoma" w:cs="Tahoma"/>
          <w:sz w:val="20"/>
          <w:szCs w:val="20"/>
        </w:rPr>
        <w:t xml:space="preserve">      Όχι, ο πίνακας εφαρμόζεται μόνο στις περιπτώσεις εκσυγχρονισμού για τον             υπολογισμό του κόστους ανά τ.μ., ή ανέγερσης κτηρίου που δεν περιλαμβάνεται μία από τις κατηγορίες εργασιών του πίνακα, ή στις περιπτώσεις υπολογισμού της Δ.Δ. σε μερικά αιτήματα πληρωμής. Στις περιπτώσεις ανέγερσης κτηρίου όπου μια κατηγορία εργασιών καταργείται μερικώς ή στο σύνολο της (π.χ. λοιπές εργασίες) θα πρέπει να γίνεται ανάλογη μείωση στον προϋπολογισμό.</w:t>
      </w:r>
    </w:p>
    <w:p w14:paraId="55F508A1">
      <w:pPr>
        <w:tabs>
          <w:tab w:val="left" w:pos="709"/>
        </w:tabs>
        <w:spacing w:after="120" w:line="240" w:lineRule="auto"/>
        <w:ind w:left="709" w:hanging="425"/>
        <w:jc w:val="both"/>
        <w:rPr>
          <w:rFonts w:ascii="Tahoma" w:hAnsi="Tahoma" w:cs="Tahoma"/>
          <w:sz w:val="20"/>
          <w:szCs w:val="20"/>
        </w:rPr>
      </w:pPr>
    </w:p>
    <w:p w14:paraId="47C8BFCE">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Ο πίνακας </w:t>
      </w:r>
      <w:r>
        <w:rPr>
          <w:rFonts w:ascii="Tahoma" w:hAnsi="Tahoma" w:cs="Tahoma"/>
          <w:b/>
          <w:bCs/>
          <w:i/>
          <w:iCs/>
          <w:sz w:val="20"/>
          <w:szCs w:val="20"/>
          <w:lang w:val="en-US"/>
        </w:rPr>
        <w:t>I</w:t>
      </w:r>
      <w:r>
        <w:rPr>
          <w:rFonts w:ascii="Tahoma" w:hAnsi="Tahoma" w:cs="Tahoma"/>
          <w:b/>
          <w:bCs/>
          <w:i/>
          <w:iCs/>
          <w:sz w:val="20"/>
          <w:szCs w:val="20"/>
        </w:rPr>
        <w:t>.Α1, σελ.3, του Οδηγού περιλαμβάνει τις εργασίες με τα αντίστοιχα ποσοστά συμμετοχής τους στον προϋπολογισμό. Κατά την μελέτη σύνταξης προϋπολογισμού ή κατά την υλοποίηση του έργου, ενδέχεται κάποιες εργασίες να υλοποιηθούν με χαμηλότερο ή μεγαλύτερο κόστος από αυτό που προκύπτει από τα ποσοστά του πίνακα ή ακόμη και να πραγματοποιηθούν με ιδία συμμετοχή, άρα θα πρέπει να διαφοροποιηθεί το ποσοστό συμμετοχής της εργασίας.</w:t>
      </w:r>
    </w:p>
    <w:p w14:paraId="7B730CFC">
      <w:pPr>
        <w:pStyle w:val="31"/>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Α) Είναι εφικτή η αλλαγή των ποσοστών συμμετοχής των επιμέρους εργασιών του πίνακα ή η μεταφορά υπολοίπου σε άλλη εργασία του πίνακα, αυξομειώνοντας αναλόγως τα ποσοστά βάση των αλλαγών ;</w:t>
      </w:r>
    </w:p>
    <w:p w14:paraId="07C626DF">
      <w:pPr>
        <w:pStyle w:val="31"/>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Β) Σύμφωνα με τον πίνακα του κεφαλαίου Α1 του οδηγού, τα ποσοστά συμμετοχής των κατηγοριών εργασιών είναι δεσμευτικά και στο στάδιο των πληρωμών ;</w:t>
      </w:r>
    </w:p>
    <w:p w14:paraId="57CDEE49">
      <w:pPr>
        <w:pStyle w:val="31"/>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Γ) Στις περιπτώσεις μερικής πληρωμής, η αιτούμενη δαπάνη θα υπολογίζεται με βάση το άθροισμα των ποσοστών των επιμέρους εργασιών του πίνακα κατανομής ;</w:t>
      </w:r>
    </w:p>
    <w:p w14:paraId="123B45FB">
      <w:pPr>
        <w:pStyle w:val="31"/>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Δ) Σε περίπτωση που κάποια κατηγορία εργασιών είτε υλοποιείται με μικρότερο κόστος είτε δεν υλοποιείται καθόλου, αλλά το άθροισμα των τιμολογίων των λοιπών εργασιών ισούται με τον εγκεκριμένο συνολικό προϋπολογισμό, η πληρωμή πραγματοποιείται επί του συνολικού ποσού ή απαιτείται σε αντίστοιχη μείωση ;</w:t>
      </w:r>
    </w:p>
    <w:p w14:paraId="06F87166">
      <w:pPr>
        <w:pStyle w:val="31"/>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Ε) Σε περίπτωση που έχουμε κατασκευαστικές εργασίες, οι οποίες δεν μπορούν να ομαδοποιηθούν σε κάποια εργασία του πίνακα (π.χ. επικαλύψεις, ψευδοροφές, στέγη, αντικατάσταση στέγης). Πως θα υπολογίζονται ;</w:t>
      </w:r>
    </w:p>
    <w:p w14:paraId="4ECCDC9B">
      <w:pPr>
        <w:pStyle w:val="31"/>
        <w:spacing w:after="120" w:line="240" w:lineRule="auto"/>
        <w:ind w:left="993" w:hanging="273"/>
        <w:contextualSpacing w:val="0"/>
        <w:jc w:val="both"/>
        <w:rPr>
          <w:rFonts w:ascii="Tahoma" w:hAnsi="Tahoma" w:cs="Tahoma"/>
          <w:sz w:val="20"/>
          <w:szCs w:val="20"/>
        </w:rPr>
      </w:pPr>
      <w:r>
        <w:rPr>
          <w:rFonts w:ascii="Tahoma" w:hAnsi="Tahoma" w:cs="Tahoma"/>
          <w:sz w:val="20"/>
          <w:szCs w:val="20"/>
        </w:rPr>
        <w:t>Α) Όχι, δεν είναι εφικτή η αλλαγή των ποσοστών των επιμέρους εργασιών ούτε η αυξομείωση αυτών ανάλογα τις αλλαγές. Κατά την υποβολή της αίτησης στήριξης καταχωρείται το κόστος ανά τ.μ., συνεπώς δεν χρειάζεται η αναλυτική αποτύπωση των εργασιών σύμφωνα με τα ποσοστά του πίνακα.</w:t>
      </w:r>
    </w:p>
    <w:p w14:paraId="2437F67C">
      <w:pPr>
        <w:pStyle w:val="31"/>
        <w:spacing w:after="120" w:line="240" w:lineRule="auto"/>
        <w:ind w:left="993" w:hanging="273"/>
        <w:contextualSpacing w:val="0"/>
        <w:jc w:val="both"/>
        <w:rPr>
          <w:rFonts w:ascii="Tahoma" w:hAnsi="Tahoma" w:cs="Tahoma"/>
          <w:sz w:val="20"/>
          <w:szCs w:val="20"/>
        </w:rPr>
      </w:pPr>
      <w:r>
        <w:rPr>
          <w:rFonts w:ascii="Tahoma" w:hAnsi="Tahoma" w:cs="Tahoma"/>
          <w:sz w:val="20"/>
          <w:szCs w:val="20"/>
        </w:rPr>
        <w:t>Β) Στα μερικά αιτήματα πληρωμής όπου το κτίριο δεν έχει τελειώσει πλήρως ο υπολογισμός της ενίσχυσης γίνεται βάσει του πίνακα εργασιών με την προϋπόθεση ότι οι ζητούμενες δαπάνες αφορούν σε ολοκληρωμένες εργασίες.</w:t>
      </w:r>
    </w:p>
    <w:p w14:paraId="11F7B42A">
      <w:pPr>
        <w:pStyle w:val="31"/>
        <w:spacing w:after="120" w:line="240" w:lineRule="auto"/>
        <w:ind w:left="993" w:hanging="273"/>
        <w:contextualSpacing w:val="0"/>
        <w:jc w:val="both"/>
        <w:rPr>
          <w:rFonts w:ascii="Tahoma" w:hAnsi="Tahoma" w:cs="Tahoma"/>
          <w:sz w:val="20"/>
          <w:szCs w:val="20"/>
        </w:rPr>
      </w:pPr>
      <w:r>
        <w:rPr>
          <w:rFonts w:ascii="Tahoma" w:hAnsi="Tahoma" w:cs="Tahoma"/>
          <w:sz w:val="20"/>
          <w:szCs w:val="20"/>
        </w:rPr>
        <w:t>Γ) Ναι</w:t>
      </w:r>
    </w:p>
    <w:p w14:paraId="66C75CD0">
      <w:pPr>
        <w:pStyle w:val="31"/>
        <w:spacing w:after="120" w:line="240" w:lineRule="auto"/>
        <w:ind w:left="993" w:hanging="273"/>
        <w:contextualSpacing w:val="0"/>
        <w:jc w:val="both"/>
        <w:rPr>
          <w:rFonts w:ascii="Tahoma" w:hAnsi="Tahoma" w:cs="Tahoma"/>
          <w:sz w:val="20"/>
          <w:szCs w:val="20"/>
        </w:rPr>
      </w:pPr>
      <w:r>
        <w:rPr>
          <w:rFonts w:ascii="Tahoma" w:hAnsi="Tahoma" w:cs="Tahoma"/>
          <w:sz w:val="20"/>
          <w:szCs w:val="20"/>
        </w:rPr>
        <w:t>Δ) Στις περιπτώσεις όπου μία εργασία δεν υλοποιείται καθόλου αφαιρείται από το συνολικό κόστος. Αντίστοιχα όταν μία εργασία πραγματοποιείται σε μέρος μόνο του κτιρίου γίνεται σχετική μείωση βάσει των τ.μ.</w:t>
      </w:r>
    </w:p>
    <w:p w14:paraId="09408230">
      <w:pPr>
        <w:pStyle w:val="31"/>
        <w:spacing w:after="120" w:line="240" w:lineRule="auto"/>
        <w:ind w:left="993" w:hanging="273"/>
        <w:contextualSpacing w:val="0"/>
        <w:jc w:val="both"/>
        <w:rPr>
          <w:rFonts w:ascii="Tahoma" w:hAnsi="Tahoma" w:cs="Tahoma"/>
          <w:sz w:val="20"/>
          <w:szCs w:val="20"/>
        </w:rPr>
      </w:pPr>
      <w:r>
        <w:rPr>
          <w:rFonts w:ascii="Tahoma" w:hAnsi="Tahoma" w:cs="Tahoma"/>
          <w:sz w:val="20"/>
          <w:szCs w:val="20"/>
        </w:rPr>
        <w:t>Ε) Δαπάνες που αφορούν σε επικαλύψεις και ψευδοροφές εντάσσονται στην κατηγορία «Λοιπά». Η στέγη και η πέργκολα δεν περιλαμβάνονται στις εργασίες του πίνακα και απαιτείται η απόδειξη του εύλογου κόστους.</w:t>
      </w:r>
    </w:p>
    <w:p w14:paraId="0ACF3120">
      <w:pPr>
        <w:pStyle w:val="31"/>
        <w:tabs>
          <w:tab w:val="left" w:pos="709"/>
        </w:tabs>
        <w:spacing w:after="120" w:line="240" w:lineRule="auto"/>
        <w:contextualSpacing w:val="0"/>
        <w:jc w:val="both"/>
        <w:rPr>
          <w:rFonts w:ascii="Tahoma" w:hAnsi="Tahoma" w:cs="Tahoma"/>
          <w:sz w:val="20"/>
          <w:szCs w:val="20"/>
        </w:rPr>
      </w:pPr>
    </w:p>
    <w:p w14:paraId="499C4941">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Αν μια πράξη περιλαμβάνει ταυτόχρονα κατασκευαστικές εργασίες προσθήκης κατ’ επέκταση ή καθ’ ύψος (άρα νέα κατασκευή) αλλά και ταυτόχρονα εκσυγχρονισμό των υφιστάμενων κτιριακών εγκαταστάσεων, πως θα υπολογίζονται τα ποσοστά εργασιών ;</w:t>
      </w:r>
    </w:p>
    <w:p w14:paraId="70ADC771">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Στις περιπτώσεις αυτές θα πρέπει να γίνει ξεχωριστά ο υπολογισμός του κόστους της νέας κατασκευής από το κόστος που αφορά τον εκσυγχρονισμό. Για την νέα κατασκευή ο υπολογισμός θα είναι τ.μ. επί την τιμή που αντιστοιχεί για το είδος κατασκευής και για τον εκσυγχρονισμό θα είναι τ.μ. επί την τιμή που αντιστοιχεί για το είδος κατασκευής, επί το άθροισμα των ποσοστών που αφορούν τις εργασίες εκσυγχρονισμού.</w:t>
      </w:r>
    </w:p>
    <w:p w14:paraId="55C92067">
      <w:pPr>
        <w:pStyle w:val="31"/>
        <w:tabs>
          <w:tab w:val="left" w:pos="709"/>
        </w:tabs>
        <w:spacing w:after="120" w:line="240" w:lineRule="auto"/>
        <w:contextualSpacing w:val="0"/>
        <w:jc w:val="both"/>
        <w:rPr>
          <w:rFonts w:ascii="Tahoma" w:hAnsi="Tahoma" w:cs="Tahoma"/>
          <w:sz w:val="20"/>
          <w:szCs w:val="20"/>
        </w:rPr>
      </w:pPr>
    </w:p>
    <w:p w14:paraId="1FECEE0E">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Στο κεφάλαιο </w:t>
      </w:r>
      <w:r>
        <w:rPr>
          <w:rFonts w:ascii="Tahoma" w:hAnsi="Tahoma" w:cs="Tahoma"/>
          <w:b/>
          <w:bCs/>
          <w:i/>
          <w:iCs/>
          <w:sz w:val="20"/>
          <w:szCs w:val="20"/>
          <w:lang w:val="en-US"/>
        </w:rPr>
        <w:t>I</w:t>
      </w:r>
      <w:r>
        <w:rPr>
          <w:rFonts w:ascii="Tahoma" w:hAnsi="Tahoma" w:cs="Tahoma"/>
          <w:b/>
          <w:bCs/>
          <w:i/>
          <w:iCs/>
          <w:sz w:val="20"/>
          <w:szCs w:val="20"/>
        </w:rPr>
        <w:t>.Α2 αναφέρεται : «προσαύξηση 6% για ειδικές απαιτήσεις θεμελίωσης» και «προσαύξηση 6% για τεχνολογίες βιοκλιματικού κτηρίου» επί των υπολογισμένων αρχικών τιμών κατασκευής.</w:t>
      </w:r>
    </w:p>
    <w:p w14:paraId="5F75525F">
      <w:pPr>
        <w:pStyle w:val="31"/>
        <w:tabs>
          <w:tab w:val="left" w:pos="709"/>
        </w:tabs>
        <w:spacing w:after="120" w:line="240" w:lineRule="auto"/>
        <w:contextualSpacing w:val="0"/>
        <w:jc w:val="both"/>
        <w:rPr>
          <w:rFonts w:hint="default" w:ascii="Tahoma" w:hAnsi="Tahoma" w:cs="Tahoma"/>
          <w:b/>
          <w:bCs/>
          <w:i/>
          <w:iCs/>
          <w:sz w:val="20"/>
          <w:szCs w:val="20"/>
          <w:lang w:val="en-US"/>
        </w:rPr>
      </w:pPr>
      <w:r>
        <w:rPr>
          <w:rFonts w:ascii="Tahoma" w:hAnsi="Tahoma" w:cs="Tahoma"/>
          <w:b/>
          <w:bCs/>
          <w:i/>
          <w:iCs/>
          <w:sz w:val="20"/>
          <w:szCs w:val="20"/>
        </w:rPr>
        <w:t>Α) Ποια είναι τα δικαιολογητικά που θα απαιτούνται για την τεκμηρίωση επιλογής της κάθε προσαύξησης ;</w:t>
      </w:r>
      <w:r>
        <w:rPr>
          <w:rFonts w:hint="default" w:ascii="Tahoma" w:hAnsi="Tahoma" w:cs="Tahoma"/>
          <w:b/>
          <w:bCs/>
          <w:i/>
          <w:iCs/>
          <w:sz w:val="20"/>
          <w:szCs w:val="20"/>
          <w:lang w:val="el-GR"/>
        </w:rPr>
        <w:t xml:space="preserve"> Αρκεί μια τεκμηρίωση στην τεχνική έκθεση ή στην Υ.Δ., απαιτείται κάποια επιπλέον μελέτη</w:t>
      </w:r>
      <w:r>
        <w:rPr>
          <w:rFonts w:hint="default" w:ascii="Tahoma" w:hAnsi="Tahoma" w:cs="Tahoma"/>
          <w:b/>
          <w:bCs/>
          <w:i/>
          <w:iCs/>
          <w:sz w:val="20"/>
          <w:szCs w:val="20"/>
          <w:lang w:val="en-US"/>
        </w:rPr>
        <w:t xml:space="preserve">; </w:t>
      </w:r>
    </w:p>
    <w:p w14:paraId="32E5E4B3">
      <w:pPr>
        <w:pStyle w:val="31"/>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lang w:val="en-US"/>
        </w:rPr>
        <w:t>B</w:t>
      </w:r>
      <w:r>
        <w:rPr>
          <w:rFonts w:ascii="Tahoma" w:hAnsi="Tahoma" w:cs="Tahoma"/>
          <w:b/>
          <w:bCs/>
          <w:i/>
          <w:iCs/>
          <w:sz w:val="20"/>
          <w:szCs w:val="20"/>
        </w:rPr>
        <w:t>) Ποιος θα προσδιορίζει αν μια θεμελίωση θεωρείται ειδική;</w:t>
      </w:r>
    </w:p>
    <w:p w14:paraId="388366DE">
      <w:pPr>
        <w:pStyle w:val="31"/>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Γ) Οι αρχές βιοκλιματικού σχεδιασμού καλύπτουν μια μεγάλη ομάδα ενεργειών και κατασκευαστικών εργασιών, οι οποίες βάση της ενεργειακής απόδοσης κτηρίων, συνήθως περιλαμβάνονται σε οποιοδήποτε νέο κτίριο. Πως θα πιστοποιείται ότι έχουν τηρηθεί οι αρχές βιοκλιματικού σχεδιασμού, θα απαιτείται κάποια πιστοποίηση φορέα ;</w:t>
      </w:r>
    </w:p>
    <w:p w14:paraId="240E2333">
      <w:pPr>
        <w:spacing w:after="120" w:line="240" w:lineRule="auto"/>
        <w:ind w:left="851" w:hanging="284"/>
        <w:jc w:val="both"/>
        <w:rPr>
          <w:rFonts w:ascii="Tahoma" w:hAnsi="Tahoma" w:cs="Tahoma"/>
          <w:sz w:val="20"/>
          <w:szCs w:val="20"/>
        </w:rPr>
      </w:pPr>
      <w:r>
        <w:rPr>
          <w:rFonts w:ascii="Tahoma" w:hAnsi="Tahoma" w:cs="Tahoma"/>
          <w:sz w:val="20"/>
          <w:szCs w:val="20"/>
        </w:rPr>
        <w:t>Α), Β) Καθορίζεται από την μελέτη του έργου και την τεχνική έκθεση του μηχανικού   του έργου, όπως εγκρίνεται αρμοδίως με την έγκριση της οικοδομικής άδειας.</w:t>
      </w:r>
    </w:p>
    <w:p w14:paraId="4D69191E">
      <w:pPr>
        <w:spacing w:after="120" w:line="240" w:lineRule="auto"/>
        <w:ind w:left="851" w:hanging="284"/>
        <w:jc w:val="both"/>
        <w:rPr>
          <w:rFonts w:ascii="Tahoma" w:hAnsi="Tahoma" w:cs="Tahoma"/>
          <w:sz w:val="20"/>
          <w:szCs w:val="20"/>
        </w:rPr>
      </w:pPr>
      <w:r>
        <w:rPr>
          <w:rFonts w:ascii="Tahoma" w:hAnsi="Tahoma" w:cs="Tahoma"/>
          <w:sz w:val="20"/>
          <w:szCs w:val="20"/>
        </w:rPr>
        <w:t>Γ) Πιστοποιείται με την έκδοση Πιστοποιητικού Ενεργειακής Απόδοσης (ΠΕΑ) υψηλής ενεργειακής κλάσης (Α</w:t>
      </w:r>
      <w:r>
        <w:rPr>
          <w:rFonts w:ascii="Tahoma" w:hAnsi="Tahoma" w:cs="Tahoma"/>
          <w:sz w:val="20"/>
          <w:szCs w:val="20"/>
          <w:vertAlign w:val="superscript"/>
        </w:rPr>
        <w:t>+</w:t>
      </w:r>
      <w:r>
        <w:rPr>
          <w:rFonts w:ascii="Tahoma" w:hAnsi="Tahoma" w:cs="Tahoma"/>
          <w:sz w:val="20"/>
          <w:szCs w:val="20"/>
        </w:rPr>
        <w:t xml:space="preserve"> έως Β</w:t>
      </w:r>
      <w:r>
        <w:rPr>
          <w:rFonts w:ascii="Tahoma" w:hAnsi="Tahoma" w:cs="Tahoma"/>
          <w:sz w:val="20"/>
          <w:szCs w:val="20"/>
          <w:vertAlign w:val="superscript"/>
        </w:rPr>
        <w:t>+</w:t>
      </w:r>
      <w:r>
        <w:rPr>
          <w:rFonts w:ascii="Tahoma" w:hAnsi="Tahoma" w:cs="Tahoma"/>
          <w:sz w:val="20"/>
          <w:szCs w:val="20"/>
        </w:rPr>
        <w:t>).</w:t>
      </w:r>
    </w:p>
    <w:p w14:paraId="51EF56AD">
      <w:pPr>
        <w:spacing w:after="120" w:line="240" w:lineRule="auto"/>
        <w:ind w:left="851" w:hanging="284"/>
        <w:jc w:val="both"/>
        <w:rPr>
          <w:rFonts w:ascii="Tahoma" w:hAnsi="Tahoma" w:cs="Tahoma"/>
          <w:sz w:val="20"/>
          <w:szCs w:val="20"/>
        </w:rPr>
      </w:pPr>
    </w:p>
    <w:p w14:paraId="53F57993">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Ποιο είναι το κόστος ανά τ.μ. σε περίπτωση κατασκευής εξ ολοκλήρου πέτρινου κτηρίου ;</w:t>
      </w:r>
    </w:p>
    <w:p w14:paraId="140499FF">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Η κατασκευή πέτρινων κτηρίων δεν περιλαμβάνεται στον οδηγό και συνεπώς θα πρέπει να γίνει απόδειξη του εύλογου κόστους μέσω προσφορών.</w:t>
      </w:r>
    </w:p>
    <w:p w14:paraId="0F948855">
      <w:pPr>
        <w:pStyle w:val="31"/>
        <w:tabs>
          <w:tab w:val="left" w:pos="709"/>
        </w:tabs>
        <w:spacing w:after="120" w:line="240" w:lineRule="auto"/>
        <w:contextualSpacing w:val="0"/>
        <w:jc w:val="both"/>
        <w:rPr>
          <w:rFonts w:ascii="Tahoma" w:hAnsi="Tahoma" w:cs="Tahoma"/>
          <w:sz w:val="20"/>
          <w:szCs w:val="20"/>
        </w:rPr>
      </w:pPr>
    </w:p>
    <w:p w14:paraId="503EDD4D">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Οι πρότυπες τιμές είναι οι ελάχιστες ή οι μέγιστες τιμές για μια επένδυση ;</w:t>
      </w:r>
    </w:p>
    <w:p w14:paraId="5DF3E81B">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Είναι οι τιμές βάσει των οποίων θα πρέπει να υπολογιστεί ο προϋπολογισμός της πράξης κατά την υποβολή της αίτησης στήριξης, καθώς και η ενίσχυση που θα λάβει ο δικαιούχος.</w:t>
      </w:r>
    </w:p>
    <w:p w14:paraId="711C3AC2">
      <w:pPr>
        <w:pStyle w:val="31"/>
        <w:tabs>
          <w:tab w:val="left" w:pos="709"/>
        </w:tabs>
        <w:spacing w:after="120" w:line="240" w:lineRule="auto"/>
        <w:contextualSpacing w:val="0"/>
        <w:jc w:val="both"/>
        <w:rPr>
          <w:rFonts w:ascii="Tahoma" w:hAnsi="Tahoma" w:cs="Tahoma"/>
          <w:sz w:val="20"/>
          <w:szCs w:val="20"/>
        </w:rPr>
      </w:pPr>
    </w:p>
    <w:p w14:paraId="63071458">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Α) Στον οδηγό πως ερμηνεύεται η αναφορά ότι «υπάρχει η δυνατότητα» αναθεώρησης για τα κόστη/τιμές εφαρμογής ;</w:t>
      </w:r>
    </w:p>
    <w:p w14:paraId="21A45527">
      <w:pPr>
        <w:pStyle w:val="31"/>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Β) Ο καθορισμός του δείκτη τιμών καταναλωτή (τ.κ.), με ποιον τρόπο γίνεται ; </w:t>
      </w:r>
      <w:r>
        <w:rPr>
          <w:rFonts w:ascii="Tahoma" w:hAnsi="Tahoma" w:cs="Tahoma"/>
          <w:b/>
          <w:bCs/>
          <w:i/>
          <w:iCs/>
          <w:sz w:val="20"/>
          <w:szCs w:val="20"/>
          <w:lang w:val="en-US"/>
        </w:rPr>
        <w:t>H</w:t>
      </w:r>
      <w:r>
        <w:rPr>
          <w:rFonts w:ascii="Tahoma" w:hAnsi="Tahoma" w:cs="Tahoma"/>
          <w:b/>
          <w:bCs/>
          <w:i/>
          <w:iCs/>
          <w:sz w:val="20"/>
          <w:szCs w:val="20"/>
        </w:rPr>
        <w:t xml:space="preserve"> τιμή αναφορά του δείκτη είναι το 2024 ή το 2004 ;</w:t>
      </w:r>
    </w:p>
    <w:p w14:paraId="5CAD00AF">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Α) «Η δυνατότητα αναθεώρησης για τα κόστη/τιμές εφαρμογής», σημαίνει ότι, η ΟΤΔ κατά την έκδοση της πρόσκλησης μπορεί σε περίπτωση που το κρίνει απαραίτητο να καθορίσει την ετήσια αναθεώρηση στις τιμές του Οδηγού. Οι τιμές αυτές δεν μπορούν να τροποποιηθούν μετά την επιβολή της αίτησης στήριξης.</w:t>
      </w:r>
    </w:p>
    <w:p w14:paraId="74002C83">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Β) Σύμφωνα με : 1) Παρ.8δ του άρθρου 53 του ν.4412/2016 όπως ισχύει</w:t>
      </w:r>
    </w:p>
    <w:p w14:paraId="45B88FDB">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 xml:space="preserve">                         2) Εγκεκριμένος Κανονισμός Προεκτιμώμενων Αμοιβών σύμφωνα με την με αριθμ. ΔΝΣγ / 32129 / ΦΝ 466 / 16-05-2017 ΥΑ (ΦΕΚ 2519 Β’ / 20-07-2017) και συγκεκριμένα το άρθρο ΓΕΝ.3 </w:t>
      </w:r>
    </w:p>
    <w:p w14:paraId="54739E8C">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Ο συντελεστής τ</w:t>
      </w:r>
      <w:r>
        <w:rPr>
          <w:rFonts w:ascii="Tahoma" w:hAnsi="Tahoma" w:cs="Tahoma"/>
          <w:sz w:val="20"/>
          <w:szCs w:val="20"/>
          <w:vertAlign w:val="subscript"/>
        </w:rPr>
        <w:t xml:space="preserve">κ </w:t>
      </w:r>
      <w:r>
        <w:rPr>
          <w:rFonts w:ascii="Tahoma" w:hAnsi="Tahoma" w:cs="Tahoma"/>
          <w:sz w:val="20"/>
          <w:szCs w:val="20"/>
        </w:rPr>
        <w:t xml:space="preserve">ορίζεται για κάθε έτος ως ο λόγος του επίσημου γενικού δείκτη καταναλωτή του Δεκεμβρίου του προηγούμενου έτους προς τον επίσημο δείκτη τιμών καταναλωτή του Δεκεμβρίου του έτους 2004. </w:t>
      </w:r>
    </w:p>
    <w:p w14:paraId="72964077">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Με βάση το δελτίο της Ελληνικής Στατιστικής Αρχής (ΕΛ.ΣΤΑΤ.) και μετά την αναπροσαρμογή του Έτους Βάσης στο 2020, ο γενικός δείκτης τιμών καταναλωτή του Δεκεμβρίου 2004 αναμορφώθηκε σε 83,271 και ο αντίστοιχος γενικός δείκτης Δεκεμβρίου 2025 σε 122,564.</w:t>
      </w:r>
    </w:p>
    <w:p w14:paraId="09340CBF">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Ως εκ τούτου η τιμή συντελεστή τ</w:t>
      </w:r>
      <w:r>
        <w:rPr>
          <w:rFonts w:ascii="Tahoma" w:hAnsi="Tahoma" w:cs="Tahoma"/>
          <w:sz w:val="20"/>
          <w:szCs w:val="20"/>
          <w:vertAlign w:val="subscript"/>
        </w:rPr>
        <w:t xml:space="preserve">κ </w:t>
      </w:r>
      <w:r>
        <w:rPr>
          <w:rFonts w:ascii="Tahoma" w:hAnsi="Tahoma" w:cs="Tahoma"/>
          <w:sz w:val="20"/>
          <w:szCs w:val="20"/>
        </w:rPr>
        <w:t>για το έτος 2026 που προκύπτει ως ο λόγος 122,564/83,271 ισούται με 1,472, ήτοι τ</w:t>
      </w:r>
      <w:r>
        <w:rPr>
          <w:rFonts w:ascii="Tahoma" w:hAnsi="Tahoma" w:cs="Tahoma"/>
          <w:sz w:val="20"/>
          <w:szCs w:val="20"/>
          <w:vertAlign w:val="subscript"/>
        </w:rPr>
        <w:t>κ</w:t>
      </w:r>
      <w:r>
        <w:rPr>
          <w:rFonts w:ascii="Tahoma" w:hAnsi="Tahoma" w:cs="Tahoma"/>
          <w:sz w:val="20"/>
          <w:szCs w:val="20"/>
        </w:rPr>
        <w:t>(2026)=1,472.</w:t>
      </w:r>
    </w:p>
    <w:p w14:paraId="34783895">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Στην δική μας περίπτωση και σε συνέχεια της απάντησης Α), σύμφωνα με τον Οδηγό Απλοποιημένου Κόστους υπάρχει η δυνατότητα αναθεώρησης για τα κόστη/τιμές εφαρμογής πολλαπλασιαζόμενα με τον λόγο : τ</w:t>
      </w:r>
      <w:r>
        <w:rPr>
          <w:rFonts w:ascii="Tahoma" w:hAnsi="Tahoma" w:cs="Tahoma"/>
          <w:sz w:val="20"/>
          <w:szCs w:val="20"/>
          <w:vertAlign w:val="subscript"/>
        </w:rPr>
        <w:t>κ</w:t>
      </w:r>
      <w:r>
        <w:rPr>
          <w:rFonts w:ascii="Tahoma" w:hAnsi="Tahoma" w:cs="Tahoma"/>
          <w:sz w:val="20"/>
          <w:szCs w:val="20"/>
        </w:rPr>
        <w:t xml:space="preserve"> έτους 2026 / τ</w:t>
      </w:r>
      <w:r>
        <w:rPr>
          <w:rFonts w:ascii="Tahoma" w:hAnsi="Tahoma" w:cs="Tahoma"/>
          <w:sz w:val="20"/>
          <w:szCs w:val="20"/>
          <w:vertAlign w:val="subscript"/>
        </w:rPr>
        <w:t>κ</w:t>
      </w:r>
      <w:r>
        <w:rPr>
          <w:rFonts w:ascii="Tahoma" w:hAnsi="Tahoma" w:cs="Tahoma"/>
          <w:sz w:val="20"/>
          <w:szCs w:val="20"/>
        </w:rPr>
        <w:t xml:space="preserve"> έτους 202</w:t>
      </w:r>
      <w:r>
        <w:rPr>
          <w:rFonts w:hint="default" w:ascii="Tahoma" w:hAnsi="Tahoma" w:cs="Tahoma"/>
          <w:sz w:val="20"/>
          <w:szCs w:val="20"/>
          <w:lang w:val="en-US"/>
        </w:rPr>
        <w:t>4</w:t>
      </w:r>
      <w:r>
        <w:rPr>
          <w:rFonts w:ascii="Tahoma" w:hAnsi="Tahoma" w:cs="Tahoma"/>
          <w:sz w:val="20"/>
          <w:szCs w:val="20"/>
        </w:rPr>
        <w:t>, οπότε έχουμε 1,472/1,</w:t>
      </w:r>
      <w:r>
        <w:rPr>
          <w:rFonts w:hint="default" w:ascii="Tahoma" w:hAnsi="Tahoma" w:cs="Tahoma"/>
          <w:sz w:val="20"/>
          <w:szCs w:val="20"/>
          <w:lang w:val="en-US"/>
        </w:rPr>
        <w:t>399</w:t>
      </w:r>
      <w:r>
        <w:rPr>
          <w:rFonts w:ascii="Tahoma" w:hAnsi="Tahoma" w:cs="Tahoma"/>
          <w:sz w:val="20"/>
          <w:szCs w:val="20"/>
        </w:rPr>
        <w:t xml:space="preserve"> = 1,0</w:t>
      </w:r>
      <w:r>
        <w:rPr>
          <w:rFonts w:hint="default" w:ascii="Tahoma" w:hAnsi="Tahoma" w:cs="Tahoma"/>
          <w:sz w:val="20"/>
          <w:szCs w:val="20"/>
          <w:lang w:val="en-US"/>
        </w:rPr>
        <w:t>52</w:t>
      </w:r>
      <w:bookmarkStart w:id="0" w:name="_GoBack"/>
      <w:bookmarkEnd w:id="0"/>
      <w:r>
        <w:rPr>
          <w:rFonts w:ascii="Tahoma" w:hAnsi="Tahoma" w:cs="Tahoma"/>
          <w:sz w:val="20"/>
          <w:szCs w:val="20"/>
        </w:rPr>
        <w:t>.</w:t>
      </w:r>
    </w:p>
    <w:p w14:paraId="031F7124">
      <w:pPr>
        <w:pStyle w:val="31"/>
        <w:tabs>
          <w:tab w:val="left" w:pos="709"/>
        </w:tabs>
        <w:spacing w:after="120" w:line="240" w:lineRule="auto"/>
        <w:contextualSpacing w:val="0"/>
        <w:jc w:val="both"/>
        <w:rPr>
          <w:rFonts w:ascii="Tahoma" w:hAnsi="Tahoma" w:cs="Tahoma"/>
          <w:sz w:val="20"/>
          <w:szCs w:val="20"/>
        </w:rPr>
      </w:pPr>
    </w:p>
    <w:p w14:paraId="684430B7">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Στην περίπτωση ημιτελών κατασκευών ή υφιστάμενων κτηρίων που χρειάζονται μόνο διαμόρφωση, μπορεί να χρησιμοποιηθεί ο Πίνακας </w:t>
      </w:r>
      <w:r>
        <w:rPr>
          <w:rFonts w:ascii="Tahoma" w:hAnsi="Tahoma" w:cs="Tahoma"/>
          <w:b/>
          <w:bCs/>
          <w:i/>
          <w:iCs/>
          <w:sz w:val="20"/>
          <w:szCs w:val="20"/>
          <w:lang w:val="en-US"/>
        </w:rPr>
        <w:t>I</w:t>
      </w:r>
      <w:r>
        <w:rPr>
          <w:rFonts w:ascii="Tahoma" w:hAnsi="Tahoma" w:cs="Tahoma"/>
          <w:b/>
          <w:bCs/>
          <w:i/>
          <w:iCs/>
          <w:sz w:val="20"/>
          <w:szCs w:val="20"/>
        </w:rPr>
        <w:t>.</w:t>
      </w:r>
      <w:r>
        <w:rPr>
          <w:rFonts w:ascii="Tahoma" w:hAnsi="Tahoma" w:cs="Tahoma"/>
          <w:b/>
          <w:bCs/>
          <w:i/>
          <w:iCs/>
          <w:sz w:val="20"/>
          <w:szCs w:val="20"/>
          <w:lang w:val="en-US"/>
        </w:rPr>
        <w:t>A</w:t>
      </w:r>
      <w:r>
        <w:rPr>
          <w:rFonts w:ascii="Tahoma" w:hAnsi="Tahoma" w:cs="Tahoma"/>
          <w:b/>
          <w:bCs/>
          <w:i/>
          <w:iCs/>
          <w:sz w:val="20"/>
          <w:szCs w:val="20"/>
        </w:rPr>
        <w:t>1 του Οδηγού για τις απαιτούμενες εργασίες ακόμα και για κάποιες που θεωρούνται οικοδομικές εργασίες και εξαιρούνται στον εκσυγχρονισμό ; Στην περίπτωση αυτή είναι υποχρεωτική η εφαρμογή του απλοποιημένου κόστους ή προαιρετική ;</w:t>
      </w:r>
    </w:p>
    <w:p w14:paraId="7CFD9813">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lang w:val="en-US"/>
        </w:rPr>
        <w:t>O</w:t>
      </w:r>
      <w:r>
        <w:rPr>
          <w:rFonts w:ascii="Tahoma" w:hAnsi="Tahoma" w:cs="Tahoma"/>
          <w:sz w:val="20"/>
          <w:szCs w:val="20"/>
        </w:rPr>
        <w:t xml:space="preserve"> πίνακας χρησιμοποιείται υποχρεωτικά για όλες τις εργασίες τις οποίες περιλαμβάνει.</w:t>
      </w:r>
    </w:p>
    <w:p w14:paraId="27C00DE2">
      <w:pPr>
        <w:pStyle w:val="31"/>
        <w:tabs>
          <w:tab w:val="left" w:pos="709"/>
        </w:tabs>
        <w:spacing w:after="120" w:line="240" w:lineRule="auto"/>
        <w:contextualSpacing w:val="0"/>
        <w:jc w:val="both"/>
        <w:rPr>
          <w:rFonts w:ascii="Tahoma" w:hAnsi="Tahoma" w:cs="Tahoma"/>
          <w:sz w:val="20"/>
          <w:szCs w:val="20"/>
        </w:rPr>
      </w:pPr>
    </w:p>
    <w:p w14:paraId="0DE1700B">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Στην περίπτωση εγκαταστάσεων που δεν προσμετρώνται στον συντελεστή δόμησης (σ.δ.) (π.χ. οι σοφίτες υπό κάποιες προϋποθέσεις, κλιμακοστάσια κλπ.), πως θα γίνεται η κοστολόγηση ;</w:t>
      </w:r>
    </w:p>
    <w:p w14:paraId="4A07961D">
      <w:pPr>
        <w:tabs>
          <w:tab w:val="left" w:pos="709"/>
        </w:tabs>
        <w:spacing w:after="120" w:line="240" w:lineRule="auto"/>
        <w:ind w:left="720"/>
        <w:jc w:val="both"/>
        <w:rPr>
          <w:rFonts w:hint="default" w:ascii="Tahoma" w:hAnsi="Tahoma" w:cs="Tahoma"/>
          <w:sz w:val="20"/>
          <w:szCs w:val="20"/>
          <w:lang w:val="el-GR"/>
        </w:rPr>
      </w:pPr>
      <w:r>
        <w:rPr>
          <w:rFonts w:ascii="Tahoma" w:hAnsi="Tahoma" w:cs="Tahoma"/>
          <w:sz w:val="20"/>
          <w:szCs w:val="20"/>
        </w:rPr>
        <w:t xml:space="preserve">Σύμφωνα με τα οριζόμενα στον πίνακα του κεφαλαίου </w:t>
      </w:r>
      <w:r>
        <w:rPr>
          <w:rFonts w:ascii="Tahoma" w:hAnsi="Tahoma" w:cs="Tahoma"/>
          <w:sz w:val="20"/>
          <w:szCs w:val="20"/>
          <w:lang w:val="en-US"/>
        </w:rPr>
        <w:t>I</w:t>
      </w:r>
      <w:r>
        <w:rPr>
          <w:rFonts w:ascii="Tahoma" w:hAnsi="Tahoma" w:cs="Tahoma"/>
          <w:sz w:val="20"/>
          <w:szCs w:val="20"/>
        </w:rPr>
        <w:t xml:space="preserve">.3.1 του Οδηγού, κοστολογούνται αναλόγως αν πρόκειται για χώρους βοηθητικής χρήσης ή ημιυπαίθριους χώρους. </w:t>
      </w:r>
      <w:r>
        <w:rPr>
          <w:rFonts w:ascii="Tahoma" w:hAnsi="Tahoma" w:cs="Tahoma"/>
          <w:sz w:val="20"/>
          <w:szCs w:val="20"/>
          <w:lang w:val="el-GR"/>
        </w:rPr>
        <w:t>Αν</w:t>
      </w:r>
      <w:r>
        <w:rPr>
          <w:rFonts w:hint="default" w:ascii="Tahoma" w:hAnsi="Tahoma" w:cs="Tahoma"/>
          <w:sz w:val="20"/>
          <w:szCs w:val="20"/>
          <w:lang w:val="el-GR"/>
        </w:rPr>
        <w:t xml:space="preserve"> η σοφίτα προσμετράται στον σ.δ. τότε υπολογίζεται ως κύριος χώρος. </w:t>
      </w:r>
    </w:p>
    <w:p w14:paraId="46D4D09B">
      <w:pPr>
        <w:tabs>
          <w:tab w:val="left" w:pos="709"/>
        </w:tabs>
        <w:spacing w:after="120" w:line="240" w:lineRule="auto"/>
        <w:ind w:left="720"/>
        <w:jc w:val="both"/>
        <w:rPr>
          <w:rFonts w:hint="default" w:ascii="Tahoma" w:hAnsi="Tahoma" w:cs="Tahoma"/>
          <w:sz w:val="20"/>
          <w:szCs w:val="20"/>
          <w:lang w:val="el-GR"/>
        </w:rPr>
      </w:pPr>
      <w:r>
        <w:rPr>
          <w:rFonts w:hint="default" w:ascii="Tahoma" w:hAnsi="Tahoma" w:cs="Tahoma"/>
          <w:sz w:val="20"/>
          <w:szCs w:val="20"/>
          <w:lang w:val="el-GR"/>
        </w:rPr>
        <w:t>Για τις σοφίτες, εφόσον είναι κύριοι χώροι (π.χ. δωμάτια), ισχύουν ότι ορίζει ο Οδηγός για τους κύριους χώρους τόσο κτιριοδομικά όσο και τιμολογιακά. Όταν είναι χώρος βοηθητικής χρήσης (π.χ. αποθήκες), μειώνονται οι τιμές κατά 50% σύμφωνα με τον Οδηγό. Η θεωρημένη άδεια του εκάστοτε κτιρίου, τα εγκεκριμένα σχέδια και τυχόν νομιμοποιήσεις αυθαιρέτων χώρων μας καθοδηγούν για την σχετική διάκριση σε κύρια ή βοηθητική χρήση. Κατά τον διοικητικό έλεγχο της αίτησης στήριξης, θα πρέπει να επιβεβαιωθεί η χρήση των χώρων του κτηρίου, όπως αυτή εμφανίζεται στα εγκεκριμένα σχέδια, σε σχέση με αυτή που θα διαπιστωθεί κατά τη διενέργεια αυτοψίας ως προς την υφιστάμενη κατάσταση του χώρου υλοποίησης της πράξης.</w:t>
      </w:r>
    </w:p>
    <w:p w14:paraId="79BA3068">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lang w:val="el-GR"/>
        </w:rPr>
        <w:t>Μπορεί</w:t>
      </w:r>
      <w:r>
        <w:rPr>
          <w:rFonts w:hint="default" w:ascii="Tahoma" w:hAnsi="Tahoma" w:cs="Tahoma"/>
          <w:b/>
          <w:bCs/>
          <w:i/>
          <w:iCs/>
          <w:sz w:val="20"/>
          <w:szCs w:val="20"/>
          <w:lang w:val="el-GR"/>
        </w:rPr>
        <w:t xml:space="preserve"> να γίνει χρήση χαμηλότερου ποσού ανά τ.μ. από αυτό του Οδηγού απλοποιημένου κόστους, κατά την υποβολή της αίτησης στήριξης </w:t>
      </w:r>
      <w:r>
        <w:rPr>
          <w:rFonts w:ascii="Tahoma" w:hAnsi="Tahoma" w:cs="Tahoma"/>
          <w:b/>
          <w:bCs/>
          <w:i/>
          <w:iCs/>
          <w:sz w:val="20"/>
          <w:szCs w:val="20"/>
        </w:rPr>
        <w:t xml:space="preserve">; </w:t>
      </w:r>
    </w:p>
    <w:p w14:paraId="56055D51">
      <w:pPr>
        <w:pStyle w:val="31"/>
        <w:tabs>
          <w:tab w:val="left" w:pos="709"/>
        </w:tabs>
        <w:spacing w:after="120" w:line="240" w:lineRule="auto"/>
        <w:contextualSpacing w:val="0"/>
        <w:jc w:val="both"/>
        <w:rPr>
          <w:rFonts w:hint="default" w:ascii="Tahoma" w:hAnsi="Tahoma" w:cs="Tahoma"/>
          <w:sz w:val="20"/>
          <w:szCs w:val="20"/>
          <w:lang w:val="el-GR"/>
        </w:rPr>
      </w:pPr>
      <w:r>
        <w:rPr>
          <w:rFonts w:ascii="Tahoma" w:hAnsi="Tahoma" w:cs="Tahoma"/>
          <w:sz w:val="20"/>
          <w:szCs w:val="20"/>
          <w:lang w:val="el-GR"/>
        </w:rPr>
        <w:t>Σε</w:t>
      </w:r>
      <w:r>
        <w:rPr>
          <w:rFonts w:hint="default" w:ascii="Tahoma" w:hAnsi="Tahoma" w:cs="Tahoma"/>
          <w:sz w:val="20"/>
          <w:szCs w:val="20"/>
          <w:lang w:val="el-GR"/>
        </w:rPr>
        <w:t xml:space="preserve"> περίπτωση χαμηλότερης τιμής, πρέπει να γίνει έλεγχος της πρότασης ώστε να διαπιστωθεί αν έχουν υπολογισθεί ορθά τόσο οι τιμές αυτές, όσο και επιμετρήσεις που συνοδεύουν την αίτηση στήριξης. Σε ειδικές περιπτώσεις όπου μέρος των εργασιών διαφοροποιείται από τα προβλεπόμενα στον Οδηγό (συμβατική ή μεταλλική κατασκευή), ως προς το είδος και την εκτέλεση τους, θα μπορούσε να γίνει αποδεκτή η σχετική διαφοροποίηση με την υποχρέωση υποβολής προσφορών.</w:t>
      </w:r>
    </w:p>
    <w:p w14:paraId="172AB49C">
      <w:pPr>
        <w:pStyle w:val="31"/>
        <w:tabs>
          <w:tab w:val="left" w:pos="709"/>
        </w:tabs>
        <w:spacing w:after="120" w:line="240" w:lineRule="auto"/>
        <w:contextualSpacing w:val="0"/>
        <w:jc w:val="both"/>
        <w:rPr>
          <w:rFonts w:hint="default" w:ascii="Tahoma" w:hAnsi="Tahoma" w:cs="Tahoma"/>
          <w:sz w:val="20"/>
          <w:szCs w:val="20"/>
          <w:lang w:val="el-GR"/>
        </w:rPr>
      </w:pPr>
    </w:p>
    <w:p w14:paraId="26D9BDCD">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lang w:val="el-GR"/>
        </w:rPr>
        <w:t>Α</w:t>
      </w:r>
      <w:r>
        <w:rPr>
          <w:rFonts w:hint="default" w:ascii="Tahoma" w:hAnsi="Tahoma" w:cs="Tahoma"/>
          <w:b/>
          <w:bCs/>
          <w:i/>
          <w:iCs/>
          <w:sz w:val="20"/>
          <w:szCs w:val="20"/>
          <w:lang w:val="el-GR"/>
        </w:rPr>
        <w:t xml:space="preserve">) </w:t>
      </w:r>
      <w:r>
        <w:rPr>
          <w:rFonts w:ascii="Tahoma" w:hAnsi="Tahoma" w:cs="Tahoma"/>
          <w:b/>
          <w:bCs/>
          <w:i/>
          <w:iCs/>
          <w:sz w:val="20"/>
          <w:szCs w:val="20"/>
        </w:rPr>
        <w:t>Με ποια κριτήρια κρίνεται ότι ένα κτήριο χαρακτηρίζεται ως «παραδοσιακό», προκειμένου να εφαρμοστεί η προσαύξηση που προβλέπεται στον Οδηγό ;</w:t>
      </w:r>
    </w:p>
    <w:p w14:paraId="0A531EFE">
      <w:pPr>
        <w:pStyle w:val="31"/>
        <w:tabs>
          <w:tab w:val="left" w:pos="709"/>
        </w:tabs>
        <w:spacing w:after="120" w:line="240" w:lineRule="auto"/>
        <w:contextualSpacing w:val="0"/>
        <w:jc w:val="both"/>
        <w:rPr>
          <w:rFonts w:hint="default" w:ascii="Tahoma" w:hAnsi="Tahoma" w:cs="Tahoma"/>
          <w:b/>
          <w:bCs/>
          <w:i/>
          <w:iCs/>
          <w:sz w:val="20"/>
          <w:szCs w:val="20"/>
          <w:lang w:val="en-US"/>
        </w:rPr>
      </w:pPr>
      <w:r>
        <w:rPr>
          <w:rFonts w:ascii="Tahoma" w:hAnsi="Tahoma" w:cs="Tahoma"/>
          <w:b/>
          <w:bCs/>
          <w:i/>
          <w:iCs/>
          <w:sz w:val="20"/>
          <w:szCs w:val="20"/>
          <w:lang w:val="el-GR"/>
        </w:rPr>
        <w:t>Β</w:t>
      </w:r>
      <w:r>
        <w:rPr>
          <w:rFonts w:hint="default" w:ascii="Tahoma" w:hAnsi="Tahoma" w:cs="Tahoma"/>
          <w:b/>
          <w:bCs/>
          <w:i/>
          <w:iCs/>
          <w:sz w:val="20"/>
          <w:szCs w:val="20"/>
          <w:lang w:val="el-GR"/>
        </w:rPr>
        <w:t xml:space="preserve">) Γιατί οι τιμές που προκύπτουν για τις επιμέρους χρήσεις χώρου, με την πρόσθεση του επιπλέον ποσοστού 30% για διατηρητέα κτήρια, δεν αθροίζουν στο σωστό ποσό </w:t>
      </w:r>
      <w:r>
        <w:rPr>
          <w:rFonts w:hint="default" w:ascii="Tahoma" w:hAnsi="Tahoma" w:cs="Tahoma"/>
          <w:b/>
          <w:bCs/>
          <w:i/>
          <w:iCs/>
          <w:sz w:val="20"/>
          <w:szCs w:val="20"/>
          <w:lang w:val="en-US"/>
        </w:rPr>
        <w:t xml:space="preserve">; </w:t>
      </w:r>
      <w:r>
        <w:rPr>
          <w:rFonts w:hint="default" w:ascii="Tahoma" w:hAnsi="Tahoma" w:cs="Tahoma"/>
          <w:b/>
          <w:bCs/>
          <w:i/>
          <w:iCs/>
          <w:sz w:val="20"/>
          <w:szCs w:val="20"/>
          <w:lang w:val="el-GR"/>
        </w:rPr>
        <w:t xml:space="preserve">Πρόκειται για λάθος </w:t>
      </w:r>
      <w:r>
        <w:rPr>
          <w:rFonts w:hint="default" w:ascii="Tahoma" w:hAnsi="Tahoma" w:cs="Tahoma"/>
          <w:b/>
          <w:bCs/>
          <w:i/>
          <w:iCs/>
          <w:sz w:val="20"/>
          <w:szCs w:val="20"/>
          <w:lang w:val="en-US"/>
        </w:rPr>
        <w:t xml:space="preserve">; </w:t>
      </w:r>
    </w:p>
    <w:p w14:paraId="31D8AE9F">
      <w:pPr>
        <w:pStyle w:val="31"/>
        <w:tabs>
          <w:tab w:val="left" w:pos="709"/>
        </w:tabs>
        <w:spacing w:after="120" w:line="240" w:lineRule="auto"/>
        <w:contextualSpacing w:val="0"/>
        <w:jc w:val="both"/>
        <w:rPr>
          <w:rFonts w:ascii="Tahoma" w:hAnsi="Tahoma" w:cs="Tahoma"/>
          <w:sz w:val="20"/>
          <w:szCs w:val="20"/>
        </w:rPr>
      </w:pPr>
      <w:r>
        <w:rPr>
          <w:rFonts w:hint="default" w:ascii="Tahoma" w:hAnsi="Tahoma" w:cs="Tahoma"/>
          <w:sz w:val="20"/>
          <w:szCs w:val="20"/>
          <w:lang w:val="el-GR"/>
        </w:rPr>
        <w:t xml:space="preserve">Α) </w:t>
      </w:r>
      <w:r>
        <w:rPr>
          <w:rFonts w:ascii="Tahoma" w:hAnsi="Tahoma" w:cs="Tahoma"/>
          <w:sz w:val="20"/>
          <w:szCs w:val="20"/>
        </w:rPr>
        <w:t>Τα παραδοσιακά/διατηρητέα κτήρια χαρακτηρίζονται σύμφωνα με τον ισχύον θεσμικό πλαίσιο.</w:t>
      </w:r>
    </w:p>
    <w:p w14:paraId="0B36B8A2">
      <w:pPr>
        <w:pStyle w:val="31"/>
        <w:tabs>
          <w:tab w:val="left" w:pos="709"/>
        </w:tabs>
        <w:spacing w:after="120" w:line="240" w:lineRule="auto"/>
        <w:contextualSpacing w:val="0"/>
        <w:jc w:val="both"/>
        <w:rPr>
          <w:rFonts w:hint="default" w:ascii="Tahoma" w:hAnsi="Tahoma" w:cs="Tahoma"/>
          <w:sz w:val="20"/>
          <w:szCs w:val="20"/>
          <w:lang w:val="en-US"/>
        </w:rPr>
      </w:pPr>
      <w:r>
        <w:rPr>
          <w:rFonts w:ascii="Tahoma" w:hAnsi="Tahoma" w:cs="Tahoma"/>
          <w:sz w:val="20"/>
          <w:szCs w:val="20"/>
          <w:lang w:val="el-GR"/>
        </w:rPr>
        <w:t>Β</w:t>
      </w:r>
      <w:r>
        <w:rPr>
          <w:rFonts w:hint="default" w:ascii="Tahoma" w:hAnsi="Tahoma" w:cs="Tahoma"/>
          <w:sz w:val="20"/>
          <w:szCs w:val="20"/>
          <w:lang w:val="el-GR"/>
        </w:rPr>
        <w:t>) Όχι, δεν είναι λάθος, ισχόυν οι τιμές του οδηγού.</w:t>
      </w:r>
    </w:p>
    <w:p w14:paraId="60AFD404">
      <w:pPr>
        <w:pStyle w:val="31"/>
        <w:tabs>
          <w:tab w:val="left" w:pos="709"/>
        </w:tabs>
        <w:spacing w:after="120" w:line="240" w:lineRule="auto"/>
        <w:contextualSpacing w:val="0"/>
        <w:jc w:val="both"/>
        <w:rPr>
          <w:rFonts w:ascii="Tahoma" w:hAnsi="Tahoma" w:cs="Tahoma"/>
          <w:sz w:val="20"/>
          <w:szCs w:val="20"/>
        </w:rPr>
      </w:pPr>
    </w:p>
    <w:p w14:paraId="54657784">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Στην περίπτωση που έχουμε σύγχρονες μεθόδους κατασκευής (π.χ. 3</w:t>
      </w:r>
      <w:r>
        <w:rPr>
          <w:rFonts w:ascii="Tahoma" w:hAnsi="Tahoma" w:cs="Tahoma"/>
          <w:b/>
          <w:bCs/>
          <w:i/>
          <w:iCs/>
          <w:sz w:val="20"/>
          <w:szCs w:val="20"/>
          <w:lang w:val="en-US"/>
        </w:rPr>
        <w:t>d</w:t>
      </w:r>
      <w:r>
        <w:rPr>
          <w:rFonts w:ascii="Tahoma" w:hAnsi="Tahoma" w:cs="Tahoma"/>
          <w:b/>
          <w:bCs/>
          <w:i/>
          <w:iCs/>
          <w:sz w:val="20"/>
          <w:szCs w:val="20"/>
        </w:rPr>
        <w:t>κατασκευή, προκατασκευή) ακολουθείται η διαδικασία των προσφορών ;</w:t>
      </w:r>
    </w:p>
    <w:p w14:paraId="4559D36F">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Ναι, γενικά για την οποιαδήποτε κατασκευή εκτός των συμβατικών και των μεταλλικών κατασκευών απαιτείται η απόδειξη του εύλογου κόστους.</w:t>
      </w:r>
    </w:p>
    <w:p w14:paraId="221118AD">
      <w:pPr>
        <w:pStyle w:val="31"/>
        <w:tabs>
          <w:tab w:val="left" w:pos="709"/>
        </w:tabs>
        <w:spacing w:after="120" w:line="240" w:lineRule="auto"/>
        <w:contextualSpacing w:val="0"/>
        <w:jc w:val="both"/>
        <w:rPr>
          <w:rFonts w:ascii="Tahoma" w:hAnsi="Tahoma" w:cs="Tahoma"/>
          <w:sz w:val="20"/>
          <w:szCs w:val="20"/>
        </w:rPr>
      </w:pPr>
    </w:p>
    <w:p w14:paraId="04EC660A">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Επιτρέπεται ένας δικαιούχος να μην ακολουθήσει το απλοποιημένο κόστος αλλά να επιλέξει να πληρωθεί με πραγματικές δαπάνες ;</w:t>
      </w:r>
    </w:p>
    <w:p w14:paraId="09DDDF09">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Μόνο στις περιπτώσεις που δεν είναι υποχρεωτική η εφαρμογή της μελέτης απλοποιημένου κόστους, σύμφωνα με τα οριζόμενα στην ερώτηση 35.</w:t>
      </w:r>
    </w:p>
    <w:p w14:paraId="1FC22254">
      <w:pPr>
        <w:pStyle w:val="31"/>
        <w:tabs>
          <w:tab w:val="left" w:pos="709"/>
        </w:tabs>
        <w:spacing w:after="120" w:line="240" w:lineRule="auto"/>
        <w:contextualSpacing w:val="0"/>
        <w:jc w:val="both"/>
        <w:rPr>
          <w:rFonts w:ascii="Tahoma" w:hAnsi="Tahoma" w:cs="Tahoma"/>
          <w:sz w:val="20"/>
          <w:szCs w:val="20"/>
        </w:rPr>
      </w:pPr>
    </w:p>
    <w:p w14:paraId="75ABC3FC">
      <w:pPr>
        <w:pStyle w:val="31"/>
        <w:numPr>
          <w:ilvl w:val="0"/>
          <w:numId w:val="2"/>
        </w:numPr>
        <w:tabs>
          <w:tab w:val="left" w:pos="709"/>
        </w:tabs>
        <w:spacing w:after="120" w:line="240" w:lineRule="auto"/>
        <w:contextualSpacing w:val="0"/>
        <w:jc w:val="both"/>
        <w:rPr>
          <w:rFonts w:ascii="Tahoma" w:hAnsi="Tahoma" w:cs="Tahoma"/>
          <w:b/>
          <w:bCs/>
          <w:i/>
          <w:iCs/>
          <w:sz w:val="20"/>
          <w:szCs w:val="20"/>
        </w:rPr>
      </w:pPr>
      <w:r>
        <w:rPr>
          <w:rFonts w:ascii="Tahoma" w:hAnsi="Tahoma" w:cs="Tahoma"/>
          <w:b/>
          <w:bCs/>
          <w:i/>
          <w:iCs/>
          <w:sz w:val="20"/>
          <w:szCs w:val="20"/>
        </w:rPr>
        <w:t xml:space="preserve">Στην περίπτωση επενδυτικού σχεδίου που θα υλοποιηθεί με αυτεπιστασία (π.χ. έργο πολιτισμού από εφορεία αρχαιοτήτων) ακολουθείται ο οδηγός του απλοποιημένου κόστους ή όχι ; </w:t>
      </w:r>
    </w:p>
    <w:p w14:paraId="5A42A8DE">
      <w:pPr>
        <w:pStyle w:val="31"/>
        <w:tabs>
          <w:tab w:val="left" w:pos="709"/>
        </w:tabs>
        <w:spacing w:after="120" w:line="240" w:lineRule="auto"/>
        <w:contextualSpacing w:val="0"/>
        <w:jc w:val="both"/>
        <w:rPr>
          <w:rFonts w:ascii="Tahoma" w:hAnsi="Tahoma" w:cs="Tahoma"/>
          <w:sz w:val="20"/>
          <w:szCs w:val="20"/>
        </w:rPr>
      </w:pPr>
      <w:r>
        <w:rPr>
          <w:rFonts w:ascii="Tahoma" w:hAnsi="Tahoma" w:cs="Tahoma"/>
          <w:sz w:val="20"/>
          <w:szCs w:val="20"/>
        </w:rPr>
        <w:t>Όχι, αναφορικά με το συγκεκριμένο παράδειγμα. Ο Οδηγός εφαρμόζεται μόνο σε ιδιωτικά έργα και έργα δημοσίου χαρακτήρα που δεν ακολουθούν τις διαδικασίες του ν.4412/2016.</w:t>
      </w:r>
    </w:p>
    <w:p w14:paraId="18742AE7">
      <w:pPr>
        <w:pStyle w:val="31"/>
        <w:numPr>
          <w:ilvl w:val="0"/>
          <w:numId w:val="2"/>
        </w:numPr>
        <w:tabs>
          <w:tab w:val="left" w:pos="709"/>
        </w:tabs>
        <w:spacing w:after="120" w:line="240" w:lineRule="auto"/>
        <w:ind w:left="720" w:leftChars="0" w:hanging="360" w:firstLineChars="0"/>
        <w:contextualSpacing w:val="0"/>
        <w:jc w:val="both"/>
        <w:rPr>
          <w:rFonts w:hint="default" w:ascii="Tahoma" w:hAnsi="Tahoma" w:cs="Tahoma"/>
          <w:b/>
          <w:bCs/>
          <w:i/>
          <w:iCs/>
          <w:sz w:val="20"/>
          <w:szCs w:val="20"/>
          <w:lang w:val="en-US"/>
        </w:rPr>
      </w:pPr>
      <w:r>
        <w:rPr>
          <w:rFonts w:hint="default" w:ascii="Tahoma" w:hAnsi="Tahoma" w:cs="Tahoma"/>
          <w:b/>
          <w:bCs/>
          <w:i/>
          <w:iCs/>
          <w:sz w:val="20"/>
          <w:szCs w:val="20"/>
          <w:lang w:val="el-GR"/>
        </w:rPr>
        <w:t xml:space="preserve">Αν ένας φορέας θέλει να κατασκευάσει κτηριακό έργο για την φιλοξενία ευπαθών ομάδων, σε ποια κατηγορία του Οδηγού εντάσσεται, στην κατηγορία των καταλυμάτων ή των υπηρεσιών </w:t>
      </w:r>
      <w:r>
        <w:rPr>
          <w:rFonts w:hint="default" w:ascii="Tahoma" w:hAnsi="Tahoma" w:cs="Tahoma"/>
          <w:b/>
          <w:bCs/>
          <w:i/>
          <w:iCs/>
          <w:sz w:val="20"/>
          <w:szCs w:val="20"/>
          <w:lang w:val="en-US"/>
        </w:rPr>
        <w:t>;</w:t>
      </w:r>
    </w:p>
    <w:p w14:paraId="4E4C4CCF">
      <w:pPr>
        <w:pStyle w:val="31"/>
        <w:numPr>
          <w:ilvl w:val="0"/>
          <w:numId w:val="0"/>
        </w:numPr>
        <w:tabs>
          <w:tab w:val="left" w:pos="709"/>
        </w:tabs>
        <w:spacing w:after="120" w:line="240" w:lineRule="auto"/>
        <w:ind w:left="659" w:leftChars="163" w:hanging="300" w:hangingChars="150"/>
        <w:contextualSpacing w:val="0"/>
        <w:jc w:val="both"/>
        <w:rPr>
          <w:rFonts w:hint="default" w:ascii="Tahoma" w:hAnsi="Tahoma" w:cs="Tahoma"/>
          <w:b w:val="0"/>
          <w:bCs w:val="0"/>
          <w:i w:val="0"/>
          <w:iCs w:val="0"/>
          <w:sz w:val="20"/>
          <w:szCs w:val="20"/>
          <w:lang w:val="el-GR"/>
        </w:rPr>
      </w:pPr>
      <w:r>
        <w:rPr>
          <w:rFonts w:hint="default" w:ascii="Tahoma" w:hAnsi="Tahoma" w:cs="Tahoma"/>
          <w:b/>
          <w:bCs/>
          <w:i/>
          <w:iCs/>
          <w:sz w:val="20"/>
          <w:szCs w:val="20"/>
          <w:lang w:val="en-US"/>
        </w:rPr>
        <w:t xml:space="preserve">      </w:t>
      </w:r>
      <w:r>
        <w:rPr>
          <w:rFonts w:hint="default" w:ascii="Tahoma" w:hAnsi="Tahoma" w:cs="Tahoma"/>
          <w:b w:val="0"/>
          <w:bCs w:val="0"/>
          <w:i w:val="0"/>
          <w:iCs w:val="0"/>
          <w:sz w:val="20"/>
          <w:szCs w:val="20"/>
          <w:lang w:val="el-GR"/>
        </w:rPr>
        <w:t>Εφόσον αφορά φιλοξενία, κατατάσσεται στην κατηγορία καταλυμάτων και συγκεκριμένα στην κατηγορία ξενοδοχείων 3 αστέρων.</w:t>
      </w:r>
    </w:p>
    <w:p w14:paraId="183ED8FE">
      <w:pPr>
        <w:pStyle w:val="31"/>
        <w:numPr>
          <w:ilvl w:val="0"/>
          <w:numId w:val="2"/>
        </w:numPr>
        <w:tabs>
          <w:tab w:val="left" w:pos="709"/>
        </w:tabs>
        <w:spacing w:after="120" w:line="240" w:lineRule="auto"/>
        <w:ind w:left="720" w:leftChars="0" w:hanging="360" w:firstLineChars="0"/>
        <w:contextualSpacing w:val="0"/>
        <w:jc w:val="both"/>
        <w:rPr>
          <w:rFonts w:hint="default" w:ascii="Tahoma" w:hAnsi="Tahoma" w:cs="Tahoma"/>
          <w:b/>
          <w:bCs/>
          <w:i/>
          <w:iCs/>
          <w:sz w:val="20"/>
          <w:szCs w:val="20"/>
          <w:lang w:val="el-GR"/>
        </w:rPr>
      </w:pPr>
      <w:r>
        <w:rPr>
          <w:rFonts w:hint="default" w:ascii="Tahoma" w:hAnsi="Tahoma" w:cs="Tahoma"/>
          <w:b/>
          <w:bCs/>
          <w:i/>
          <w:iCs/>
          <w:sz w:val="20"/>
          <w:szCs w:val="20"/>
          <w:lang w:val="el-GR"/>
        </w:rPr>
        <w:t xml:space="preserve">Αναφορικά με τις παιδικές χαρές είναι επιλέξιμη δαπάνη η πιστοποίηση τους </w:t>
      </w:r>
      <w:r>
        <w:rPr>
          <w:rFonts w:hint="default" w:ascii="Tahoma" w:hAnsi="Tahoma" w:cs="Tahoma"/>
          <w:b/>
          <w:bCs/>
          <w:i/>
          <w:iCs/>
          <w:sz w:val="20"/>
          <w:szCs w:val="20"/>
          <w:lang w:val="en-US"/>
        </w:rPr>
        <w:t xml:space="preserve">; </w:t>
      </w:r>
    </w:p>
    <w:p w14:paraId="0AB66A6E">
      <w:pPr>
        <w:pStyle w:val="31"/>
        <w:numPr>
          <w:ilvl w:val="0"/>
          <w:numId w:val="0"/>
        </w:numPr>
        <w:tabs>
          <w:tab w:val="left" w:pos="709"/>
        </w:tabs>
        <w:spacing w:after="120" w:line="240" w:lineRule="auto"/>
        <w:ind w:left="360" w:leftChars="0"/>
        <w:contextualSpacing w:val="0"/>
        <w:jc w:val="both"/>
        <w:rPr>
          <w:rFonts w:hint="default" w:ascii="Tahoma" w:hAnsi="Tahoma" w:cs="Tahoma"/>
          <w:b w:val="0"/>
          <w:bCs w:val="0"/>
          <w:i w:val="0"/>
          <w:iCs w:val="0"/>
          <w:sz w:val="20"/>
          <w:szCs w:val="20"/>
          <w:lang w:val="el-GR"/>
        </w:rPr>
      </w:pPr>
      <w:r>
        <w:rPr>
          <w:rFonts w:hint="default" w:ascii="Tahoma" w:hAnsi="Tahoma" w:cs="Tahoma"/>
          <w:b/>
          <w:bCs/>
          <w:i/>
          <w:iCs/>
          <w:sz w:val="20"/>
          <w:szCs w:val="20"/>
          <w:lang w:val="en-US"/>
        </w:rPr>
        <w:t xml:space="preserve">     </w:t>
      </w:r>
      <w:r>
        <w:rPr>
          <w:rFonts w:hint="default" w:ascii="Tahoma" w:hAnsi="Tahoma" w:cs="Tahoma"/>
          <w:b/>
          <w:bCs/>
          <w:i/>
          <w:iCs/>
          <w:sz w:val="20"/>
          <w:szCs w:val="20"/>
          <w:lang w:val="el-GR"/>
        </w:rPr>
        <w:t xml:space="preserve"> </w:t>
      </w:r>
      <w:r>
        <w:rPr>
          <w:rFonts w:hint="default" w:ascii="Tahoma" w:hAnsi="Tahoma" w:cs="Tahoma"/>
          <w:b w:val="0"/>
          <w:bCs w:val="0"/>
          <w:i w:val="0"/>
          <w:iCs w:val="0"/>
          <w:sz w:val="20"/>
          <w:szCs w:val="20"/>
          <w:lang w:val="el-GR"/>
        </w:rPr>
        <w:t>Ναι, είναι επιλέξιμη δαπάνη</w:t>
      </w:r>
    </w:p>
    <w:p w14:paraId="383394BF">
      <w:pPr>
        <w:pStyle w:val="31"/>
        <w:numPr>
          <w:ilvl w:val="0"/>
          <w:numId w:val="2"/>
        </w:numPr>
        <w:tabs>
          <w:tab w:val="left" w:pos="709"/>
        </w:tabs>
        <w:spacing w:after="120" w:line="240" w:lineRule="auto"/>
        <w:ind w:left="720" w:leftChars="0" w:hanging="360" w:firstLineChars="0"/>
        <w:contextualSpacing w:val="0"/>
        <w:jc w:val="both"/>
        <w:rPr>
          <w:rFonts w:hint="default" w:ascii="Tahoma" w:hAnsi="Tahoma" w:cs="Tahoma"/>
          <w:b/>
          <w:bCs/>
          <w:i/>
          <w:iCs/>
          <w:sz w:val="20"/>
          <w:szCs w:val="20"/>
          <w:lang w:val="el-GR"/>
        </w:rPr>
      </w:pPr>
      <w:r>
        <w:rPr>
          <w:rFonts w:hint="default" w:ascii="Tahoma" w:hAnsi="Tahoma" w:cs="Tahoma"/>
          <w:b/>
          <w:bCs/>
          <w:i/>
          <w:iCs/>
          <w:sz w:val="20"/>
          <w:szCs w:val="20"/>
          <w:lang w:val="el-GR"/>
        </w:rPr>
        <w:t xml:space="preserve">Οι πράξεις βελτίωσης - σήμανσης διαδρομών εντός δημοτικού δάσους σε ποια υπο-παρέμβαση πρέπει να υποβληθούν </w:t>
      </w:r>
      <w:r>
        <w:rPr>
          <w:rFonts w:hint="default" w:ascii="Tahoma" w:hAnsi="Tahoma" w:cs="Tahoma"/>
          <w:b/>
          <w:bCs/>
          <w:i/>
          <w:iCs/>
          <w:sz w:val="20"/>
          <w:szCs w:val="20"/>
          <w:lang w:val="en-US"/>
        </w:rPr>
        <w:t xml:space="preserve">; </w:t>
      </w:r>
    </w:p>
    <w:p w14:paraId="6D8BC148">
      <w:pPr>
        <w:pStyle w:val="31"/>
        <w:numPr>
          <w:ilvl w:val="0"/>
          <w:numId w:val="0"/>
        </w:numPr>
        <w:tabs>
          <w:tab w:val="left" w:pos="709"/>
        </w:tabs>
        <w:spacing w:after="120" w:line="240" w:lineRule="auto"/>
        <w:ind w:left="659" w:leftChars="163" w:hanging="300" w:hangingChars="150"/>
        <w:contextualSpacing w:val="0"/>
        <w:jc w:val="both"/>
        <w:rPr>
          <w:rFonts w:hint="default" w:ascii="Tahoma" w:hAnsi="Tahoma" w:cs="Tahoma"/>
          <w:b w:val="0"/>
          <w:bCs w:val="0"/>
          <w:i w:val="0"/>
          <w:iCs w:val="0"/>
          <w:sz w:val="20"/>
          <w:szCs w:val="20"/>
          <w:lang w:val="el-GR"/>
        </w:rPr>
      </w:pPr>
      <w:r>
        <w:rPr>
          <w:rFonts w:hint="default" w:ascii="Tahoma" w:hAnsi="Tahoma" w:cs="Tahoma"/>
          <w:b/>
          <w:bCs/>
          <w:i/>
          <w:iCs/>
          <w:sz w:val="20"/>
          <w:szCs w:val="20"/>
          <w:lang w:val="en-US"/>
        </w:rPr>
        <w:t xml:space="preserve">      </w:t>
      </w:r>
      <w:r>
        <w:rPr>
          <w:rFonts w:hint="default" w:ascii="Tahoma" w:hAnsi="Tahoma" w:cs="Tahoma"/>
          <w:b w:val="0"/>
          <w:bCs w:val="0"/>
          <w:i w:val="0"/>
          <w:iCs w:val="0"/>
          <w:sz w:val="20"/>
          <w:szCs w:val="20"/>
          <w:lang w:val="el-GR"/>
        </w:rPr>
        <w:t>Στην υπο-παρέμβαση Π3-77-4.1-6.1, καθώς οι πράξεις αυτές αφορούν στην αναβάθμιση και αναβάθμιση και ανάδειξη φυσικών τοπίων.</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0A987"/>
    <w:multiLevelType w:val="singleLevel"/>
    <w:tmpl w:val="83B0A987"/>
    <w:lvl w:ilvl="0" w:tentative="0">
      <w:start w:val="2"/>
      <w:numFmt w:val="upperLetter"/>
      <w:suff w:val="space"/>
      <w:lvlText w:val="%1."/>
      <w:lvlJc w:val="left"/>
    </w:lvl>
  </w:abstractNum>
  <w:abstractNum w:abstractNumId="1">
    <w:nsid w:val="BA819EF9"/>
    <w:multiLevelType w:val="singleLevel"/>
    <w:tmpl w:val="BA819EF9"/>
    <w:lvl w:ilvl="0" w:tentative="0">
      <w:start w:val="1"/>
      <w:numFmt w:val="upperLetter"/>
      <w:suff w:val="space"/>
      <w:lvlText w:val="%1)"/>
      <w:lvlJc w:val="left"/>
    </w:lvl>
  </w:abstractNum>
  <w:abstractNum w:abstractNumId="2">
    <w:nsid w:val="23DD14E7"/>
    <w:multiLevelType w:val="multilevel"/>
    <w:tmpl w:val="23DD14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16C005"/>
    <w:multiLevelType w:val="singleLevel"/>
    <w:tmpl w:val="2716C005"/>
    <w:lvl w:ilvl="0" w:tentative="0">
      <w:start w:val="1"/>
      <w:numFmt w:val="upperLetter"/>
      <w:suff w:val="space"/>
      <w:lvlText w:val="%1)"/>
      <w:lvlJc w:val="left"/>
    </w:lvl>
  </w:abstractNum>
  <w:abstractNum w:abstractNumId="4">
    <w:nsid w:val="39EF4F43"/>
    <w:multiLevelType w:val="multilevel"/>
    <w:tmpl w:val="39EF4F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D402B74"/>
    <w:multiLevelType w:val="multilevel"/>
    <w:tmpl w:val="5D402B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FF"/>
    <w:rsid w:val="00016EFD"/>
    <w:rsid w:val="000228A6"/>
    <w:rsid w:val="00071935"/>
    <w:rsid w:val="000B3F30"/>
    <w:rsid w:val="000C10AE"/>
    <w:rsid w:val="000C2523"/>
    <w:rsid w:val="000D5358"/>
    <w:rsid w:val="00120B86"/>
    <w:rsid w:val="001413C1"/>
    <w:rsid w:val="00155961"/>
    <w:rsid w:val="001567A4"/>
    <w:rsid w:val="001E44A7"/>
    <w:rsid w:val="00204557"/>
    <w:rsid w:val="00213EA6"/>
    <w:rsid w:val="002277C2"/>
    <w:rsid w:val="00245D06"/>
    <w:rsid w:val="002B757B"/>
    <w:rsid w:val="002E2D7E"/>
    <w:rsid w:val="00314AA8"/>
    <w:rsid w:val="003166D1"/>
    <w:rsid w:val="00330CC8"/>
    <w:rsid w:val="0034323E"/>
    <w:rsid w:val="003734DE"/>
    <w:rsid w:val="00375440"/>
    <w:rsid w:val="003765BF"/>
    <w:rsid w:val="0037666B"/>
    <w:rsid w:val="00386E61"/>
    <w:rsid w:val="003A4B88"/>
    <w:rsid w:val="003F6884"/>
    <w:rsid w:val="00421F84"/>
    <w:rsid w:val="004363B6"/>
    <w:rsid w:val="00472442"/>
    <w:rsid w:val="00485097"/>
    <w:rsid w:val="004E18EE"/>
    <w:rsid w:val="00513232"/>
    <w:rsid w:val="00550A99"/>
    <w:rsid w:val="00563678"/>
    <w:rsid w:val="005E47D9"/>
    <w:rsid w:val="00600683"/>
    <w:rsid w:val="00604023"/>
    <w:rsid w:val="006125A8"/>
    <w:rsid w:val="00623FDD"/>
    <w:rsid w:val="006373E2"/>
    <w:rsid w:val="00640C67"/>
    <w:rsid w:val="00667D1D"/>
    <w:rsid w:val="006A4F00"/>
    <w:rsid w:val="006A710F"/>
    <w:rsid w:val="006D3975"/>
    <w:rsid w:val="006D5B28"/>
    <w:rsid w:val="006D5BAF"/>
    <w:rsid w:val="006E72A9"/>
    <w:rsid w:val="006F477A"/>
    <w:rsid w:val="00754D86"/>
    <w:rsid w:val="00832EA6"/>
    <w:rsid w:val="00834E69"/>
    <w:rsid w:val="008561E1"/>
    <w:rsid w:val="008616E7"/>
    <w:rsid w:val="008D0ECC"/>
    <w:rsid w:val="00931C4A"/>
    <w:rsid w:val="009879DA"/>
    <w:rsid w:val="00A114B3"/>
    <w:rsid w:val="00A20083"/>
    <w:rsid w:val="00A43E72"/>
    <w:rsid w:val="00A55B01"/>
    <w:rsid w:val="00A65253"/>
    <w:rsid w:val="00A66AD1"/>
    <w:rsid w:val="00A73D5D"/>
    <w:rsid w:val="00A76129"/>
    <w:rsid w:val="00A918FC"/>
    <w:rsid w:val="00AA7836"/>
    <w:rsid w:val="00AA7CCA"/>
    <w:rsid w:val="00AB60C3"/>
    <w:rsid w:val="00AC7295"/>
    <w:rsid w:val="00AD3A2E"/>
    <w:rsid w:val="00B169E7"/>
    <w:rsid w:val="00B928E9"/>
    <w:rsid w:val="00C211CC"/>
    <w:rsid w:val="00CA246B"/>
    <w:rsid w:val="00D03144"/>
    <w:rsid w:val="00D05319"/>
    <w:rsid w:val="00D3685E"/>
    <w:rsid w:val="00D65A28"/>
    <w:rsid w:val="00D76A74"/>
    <w:rsid w:val="00D910D2"/>
    <w:rsid w:val="00DA1152"/>
    <w:rsid w:val="00DD1C8D"/>
    <w:rsid w:val="00DE50B8"/>
    <w:rsid w:val="00E35E1F"/>
    <w:rsid w:val="00E61708"/>
    <w:rsid w:val="00E707FF"/>
    <w:rsid w:val="00E82A53"/>
    <w:rsid w:val="00E8681C"/>
    <w:rsid w:val="00E95930"/>
    <w:rsid w:val="00EE1659"/>
    <w:rsid w:val="00EE43DE"/>
    <w:rsid w:val="00EE5F6E"/>
    <w:rsid w:val="00EF42F1"/>
    <w:rsid w:val="00F00A62"/>
    <w:rsid w:val="00F035C4"/>
    <w:rsid w:val="00FA2CAC"/>
    <w:rsid w:val="00FB0E59"/>
    <w:rsid w:val="02EA3F0C"/>
    <w:rsid w:val="0C7867E2"/>
    <w:rsid w:val="1F7E1913"/>
    <w:rsid w:val="2ABA1137"/>
    <w:rsid w:val="3C7615FC"/>
    <w:rsid w:val="458C7DD9"/>
    <w:rsid w:val="567E58B3"/>
    <w:rsid w:val="5AA66F09"/>
    <w:rsid w:val="5AEC6D1E"/>
    <w:rsid w:val="5B4132CC"/>
    <w:rsid w:val="5BE34A4E"/>
    <w:rsid w:val="69326E3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ar-SA"/>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6"/>
    <w:semiHidden/>
    <w:unhideWhenUsed/>
    <w:qFormat/>
    <w:uiPriority w:val="99"/>
    <w:pPr>
      <w:spacing w:after="0" w:line="240" w:lineRule="auto"/>
    </w:pPr>
    <w:rPr>
      <w:rFonts w:ascii="Tahoma" w:hAnsi="Tahoma" w:cs="Tahoma"/>
      <w:sz w:val="16"/>
      <w:szCs w:val="16"/>
    </w:rPr>
  </w:style>
  <w:style w:type="paragraph" w:styleId="14">
    <w:name w:val="footer"/>
    <w:basedOn w:val="1"/>
    <w:semiHidden/>
    <w:unhideWhenUsed/>
    <w:uiPriority w:val="99"/>
    <w:pPr>
      <w:tabs>
        <w:tab w:val="center" w:pos="4153"/>
        <w:tab w:val="right" w:pos="8306"/>
      </w:tabs>
      <w:snapToGrid w:val="0"/>
      <w:jc w:val="left"/>
    </w:pPr>
    <w:rPr>
      <w:sz w:val="18"/>
      <w:szCs w:val="18"/>
    </w:rPr>
  </w:style>
  <w:style w:type="paragraph" w:styleId="15">
    <w:name w:val="header"/>
    <w:basedOn w:val="1"/>
    <w:semiHidden/>
    <w:unhideWhenUsed/>
    <w:qFormat/>
    <w:uiPriority w:val="99"/>
    <w:pPr>
      <w:tabs>
        <w:tab w:val="center" w:pos="4153"/>
        <w:tab w:val="right" w:pos="8306"/>
      </w:tabs>
      <w:snapToGrid w:val="0"/>
    </w:pPr>
    <w:rPr>
      <w:sz w:val="18"/>
      <w:szCs w:val="18"/>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Επικεφαλίδα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Επικεφαλίδα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Επικεφαλίδα 3 Char"/>
    <w:basedOn w:val="11"/>
    <w:link w:val="4"/>
    <w:semiHidden/>
    <w:qFormat/>
    <w:uiPriority w:val="9"/>
    <w:rPr>
      <w:rFonts w:eastAsiaTheme="majorEastAsia" w:cstheme="majorBidi"/>
      <w:color w:val="2F5597" w:themeColor="accent1" w:themeShade="BF"/>
      <w:sz w:val="28"/>
      <w:szCs w:val="28"/>
    </w:rPr>
  </w:style>
  <w:style w:type="character" w:customStyle="1" w:styleId="21">
    <w:name w:val="Επικεφαλίδα 4 Char"/>
    <w:basedOn w:val="11"/>
    <w:link w:val="5"/>
    <w:semiHidden/>
    <w:qFormat/>
    <w:uiPriority w:val="9"/>
    <w:rPr>
      <w:rFonts w:eastAsiaTheme="majorEastAsia" w:cstheme="majorBidi"/>
      <w:i/>
      <w:iCs/>
      <w:color w:val="2F5597" w:themeColor="accent1" w:themeShade="BF"/>
    </w:rPr>
  </w:style>
  <w:style w:type="character" w:customStyle="1" w:styleId="22">
    <w:name w:val="Επικεφαλίδα 5 Char"/>
    <w:basedOn w:val="11"/>
    <w:link w:val="6"/>
    <w:semiHidden/>
    <w:qFormat/>
    <w:uiPriority w:val="9"/>
    <w:rPr>
      <w:rFonts w:eastAsiaTheme="majorEastAsia" w:cstheme="majorBidi"/>
      <w:color w:val="2F5597" w:themeColor="accent1" w:themeShade="BF"/>
    </w:rPr>
  </w:style>
  <w:style w:type="character" w:customStyle="1" w:styleId="23">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Επικεφαλίδα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Επικεφαλίδα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Τίτλος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Υπότιτλος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Απόσπασμα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Έντονο απόσπ.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Κείμενο πλαισίου Char"/>
    <w:basedOn w:val="11"/>
    <w:link w:val="1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5158</Words>
  <Characters>30030</Characters>
  <Lines>205</Lines>
  <Paragraphs>58</Paragraphs>
  <TotalTime>145</TotalTime>
  <ScaleCrop>false</ScaleCrop>
  <LinksUpToDate>false</LinksUpToDate>
  <CharactersWithSpaces>35209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2026-03-20T09:07:00Z</dcterms:created>
  <dc:creator>user4</dc:creator>
  <cp:lastModifiedBy>user4</cp:lastModifiedBy>
  <dcterms:modified xsi:type="dcterms:W3CDTF">2026-05-18T07:17:00Z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36E84015E8074DD6BF712110B929CFA5_13</vt:lpwstr>
  </property>
  <property fmtid="{D5CDD505-2E9C-101B-9397-08002B2CF9AE}" pid="4" name="KSOTemplateDocerSaveRecord">
    <vt:lpwstr>eyJoZGlkIjoiOTYzNjU2ODEwNDk5MmZiMjM5NDM4MGZkM2IwNGYxZGQifQ==</vt:lpwstr>
  </property>
</Properties>
</file>